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A8CAC" w14:textId="77777777" w:rsidR="00BA074C" w:rsidRDefault="009A5089">
      <w:pPr>
        <w:pStyle w:val="BodyText"/>
        <w:rPr>
          <w:rFonts w:ascii="Times New Roman"/>
          <w:sz w:val="20"/>
        </w:rPr>
      </w:pPr>
      <w:r>
        <w:rPr>
          <w:rFonts w:ascii="Times New Roman"/>
          <w:noProof/>
          <w:sz w:val="20"/>
        </w:rPr>
        <w:drawing>
          <wp:inline distT="0" distB="0" distL="0" distR="0" wp14:anchorId="4DE6365A" wp14:editId="13BFFD61">
            <wp:extent cx="3022679" cy="570071"/>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3022679" cy="570071"/>
                    </a:xfrm>
                    <a:prstGeom prst="rect">
                      <a:avLst/>
                    </a:prstGeom>
                  </pic:spPr>
                </pic:pic>
              </a:graphicData>
            </a:graphic>
          </wp:inline>
        </w:drawing>
      </w:r>
    </w:p>
    <w:p w14:paraId="69836817" w14:textId="77777777" w:rsidR="00BA074C" w:rsidRDefault="009A5089">
      <w:pPr>
        <w:pStyle w:val="Title"/>
      </w:pPr>
      <w:bookmarkStart w:id="0" w:name="Records_Management_Practice_Directive"/>
      <w:bookmarkEnd w:id="0"/>
      <w:r>
        <w:rPr>
          <w:color w:val="501D82"/>
        </w:rPr>
        <w:t>Records</w:t>
      </w:r>
      <w:r>
        <w:rPr>
          <w:color w:val="501D82"/>
          <w:spacing w:val="-14"/>
        </w:rPr>
        <w:t xml:space="preserve"> </w:t>
      </w:r>
      <w:r>
        <w:rPr>
          <w:color w:val="501D82"/>
        </w:rPr>
        <w:t>Management</w:t>
      </w:r>
      <w:r>
        <w:rPr>
          <w:color w:val="501D82"/>
          <w:spacing w:val="-14"/>
        </w:rPr>
        <w:t xml:space="preserve"> </w:t>
      </w:r>
      <w:r>
        <w:rPr>
          <w:color w:val="501D82"/>
        </w:rPr>
        <w:t>Practice</w:t>
      </w:r>
      <w:r>
        <w:rPr>
          <w:color w:val="501D82"/>
          <w:spacing w:val="-16"/>
        </w:rPr>
        <w:t xml:space="preserve"> </w:t>
      </w:r>
      <w:r>
        <w:rPr>
          <w:color w:val="501D82"/>
          <w:spacing w:val="-2"/>
        </w:rPr>
        <w:t>Directive</w:t>
      </w:r>
    </w:p>
    <w:p w14:paraId="713D30BD" w14:textId="77777777" w:rsidR="00BA074C" w:rsidRDefault="00BA074C">
      <w:pPr>
        <w:pStyle w:val="BodyText"/>
        <w:spacing w:before="76"/>
        <w:ind w:left="0"/>
        <w:rPr>
          <w:b/>
          <w:sz w:val="20"/>
        </w:rPr>
      </w:pPr>
    </w:p>
    <w:tbl>
      <w:tblPr>
        <w:tblW w:w="0" w:type="auto"/>
        <w:tblInd w:w="1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350"/>
      </w:tblGrid>
      <w:tr w:rsidR="00BA074C" w14:paraId="29F1EDB4" w14:textId="77777777">
        <w:trPr>
          <w:trHeight w:val="537"/>
        </w:trPr>
        <w:tc>
          <w:tcPr>
            <w:tcW w:w="9350" w:type="dxa"/>
            <w:shd w:val="clear" w:color="auto" w:fill="E0DEFE"/>
          </w:tcPr>
          <w:p w14:paraId="5383C290" w14:textId="77777777" w:rsidR="00BA074C" w:rsidRDefault="009A5089">
            <w:pPr>
              <w:pStyle w:val="TableParagraph"/>
              <w:spacing w:line="268" w:lineRule="exact"/>
              <w:rPr>
                <w:b/>
              </w:rPr>
            </w:pPr>
            <w:r>
              <w:rPr>
                <w:b/>
                <w:spacing w:val="-2"/>
              </w:rPr>
              <w:t>Division:</w:t>
            </w:r>
          </w:p>
          <w:p w14:paraId="00CBEA8E" w14:textId="77777777" w:rsidR="00BA074C" w:rsidRDefault="009A5089">
            <w:pPr>
              <w:pStyle w:val="TableParagraph"/>
            </w:pPr>
            <w:r>
              <w:t>Administrative</w:t>
            </w:r>
            <w:r>
              <w:rPr>
                <w:spacing w:val="-7"/>
              </w:rPr>
              <w:t xml:space="preserve"> </w:t>
            </w:r>
            <w:r>
              <w:rPr>
                <w:spacing w:val="-2"/>
              </w:rPr>
              <w:t>Affairs</w:t>
            </w:r>
          </w:p>
        </w:tc>
      </w:tr>
      <w:tr w:rsidR="00BA074C" w14:paraId="6768AF74" w14:textId="77777777">
        <w:trPr>
          <w:trHeight w:val="537"/>
        </w:trPr>
        <w:tc>
          <w:tcPr>
            <w:tcW w:w="9350" w:type="dxa"/>
            <w:shd w:val="clear" w:color="auto" w:fill="E0DEFE"/>
          </w:tcPr>
          <w:p w14:paraId="4138DAFF" w14:textId="77777777" w:rsidR="00BA074C" w:rsidRDefault="009A5089">
            <w:pPr>
              <w:pStyle w:val="TableParagraph"/>
              <w:spacing w:line="268" w:lineRule="exact"/>
            </w:pPr>
            <w:r>
              <w:rPr>
                <w:b/>
                <w:spacing w:val="-2"/>
              </w:rPr>
              <w:t>Department</w:t>
            </w:r>
            <w:r>
              <w:rPr>
                <w:spacing w:val="-2"/>
              </w:rPr>
              <w:t>:</w:t>
            </w:r>
          </w:p>
          <w:p w14:paraId="3D364E5A" w14:textId="77777777" w:rsidR="00BA074C" w:rsidRDefault="009A5089">
            <w:pPr>
              <w:pStyle w:val="TableParagraph"/>
            </w:pPr>
            <w:r>
              <w:t>Administrative</w:t>
            </w:r>
            <w:r>
              <w:rPr>
                <w:spacing w:val="-7"/>
              </w:rPr>
              <w:t xml:space="preserve"> </w:t>
            </w:r>
            <w:r>
              <w:rPr>
                <w:spacing w:val="-2"/>
              </w:rPr>
              <w:t>Affairs</w:t>
            </w:r>
          </w:p>
        </w:tc>
      </w:tr>
      <w:tr w:rsidR="00BA074C" w14:paraId="438EDA2F" w14:textId="77777777">
        <w:trPr>
          <w:trHeight w:val="806"/>
        </w:trPr>
        <w:tc>
          <w:tcPr>
            <w:tcW w:w="9350" w:type="dxa"/>
            <w:shd w:val="clear" w:color="auto" w:fill="E0DEFE"/>
          </w:tcPr>
          <w:p w14:paraId="361FF066" w14:textId="77777777" w:rsidR="00BA074C" w:rsidRDefault="009A5089">
            <w:pPr>
              <w:pStyle w:val="TableParagraph"/>
              <w:spacing w:line="268" w:lineRule="exact"/>
            </w:pPr>
            <w:r>
              <w:rPr>
                <w:b/>
              </w:rPr>
              <w:t>Contact</w:t>
            </w:r>
            <w:r>
              <w:rPr>
                <w:b/>
                <w:spacing w:val="-5"/>
              </w:rPr>
              <w:t xml:space="preserve"> </w:t>
            </w:r>
            <w:r>
              <w:rPr>
                <w:b/>
                <w:spacing w:val="-2"/>
              </w:rPr>
              <w:t>Information</w:t>
            </w:r>
            <w:r>
              <w:rPr>
                <w:spacing w:val="-2"/>
              </w:rPr>
              <w:t>:</w:t>
            </w:r>
          </w:p>
          <w:p w14:paraId="02564B2E" w14:textId="2D0010AA" w:rsidR="00BA074C" w:rsidRDefault="009A5089">
            <w:pPr>
              <w:pStyle w:val="TableParagraph"/>
              <w:spacing w:line="270" w:lineRule="atLeast"/>
            </w:pPr>
            <w:r>
              <w:t>Jennifer</w:t>
            </w:r>
            <w:r>
              <w:rPr>
                <w:spacing w:val="-5"/>
              </w:rPr>
              <w:t xml:space="preserve"> </w:t>
            </w:r>
            <w:r>
              <w:t>Motszko/</w:t>
            </w:r>
            <w:r>
              <w:rPr>
                <w:spacing w:val="-4"/>
              </w:rPr>
              <w:t xml:space="preserve"> </w:t>
            </w:r>
            <w:r w:rsidR="003C385B">
              <w:t>Head of Archives</w:t>
            </w:r>
            <w:r>
              <w:rPr>
                <w:spacing w:val="-6"/>
              </w:rPr>
              <w:t xml:space="preserve"> </w:t>
            </w:r>
            <w:r>
              <w:t>/</w:t>
            </w:r>
            <w:r>
              <w:rPr>
                <w:spacing w:val="-4"/>
              </w:rPr>
              <w:t xml:space="preserve"> </w:t>
            </w:r>
            <w:r>
              <w:t xml:space="preserve">(262)-472-5515 </w:t>
            </w:r>
            <w:hyperlink r:id="rId7">
              <w:r>
                <w:rPr>
                  <w:spacing w:val="-2"/>
                </w:rPr>
                <w:t>archives@uww.edu</w:t>
              </w:r>
            </w:hyperlink>
          </w:p>
        </w:tc>
      </w:tr>
      <w:tr w:rsidR="00BA074C" w14:paraId="6403EFF2" w14:textId="77777777">
        <w:trPr>
          <w:trHeight w:val="535"/>
        </w:trPr>
        <w:tc>
          <w:tcPr>
            <w:tcW w:w="9350" w:type="dxa"/>
            <w:shd w:val="clear" w:color="auto" w:fill="E0DEFE"/>
          </w:tcPr>
          <w:p w14:paraId="5A5518F0" w14:textId="77777777" w:rsidR="00BA074C" w:rsidRDefault="009A5089">
            <w:pPr>
              <w:pStyle w:val="TableParagraph"/>
              <w:spacing w:line="266" w:lineRule="exact"/>
              <w:rPr>
                <w:b/>
              </w:rPr>
            </w:pPr>
            <w:r>
              <w:rPr>
                <w:b/>
              </w:rPr>
              <w:t>Effective</w:t>
            </w:r>
            <w:r>
              <w:rPr>
                <w:b/>
                <w:spacing w:val="-4"/>
              </w:rPr>
              <w:t xml:space="preserve"> </w:t>
            </w:r>
            <w:r>
              <w:rPr>
                <w:b/>
                <w:spacing w:val="-2"/>
              </w:rPr>
              <w:t>Date:</w:t>
            </w:r>
          </w:p>
          <w:p w14:paraId="0DAA9432" w14:textId="77777777" w:rsidR="00BA074C" w:rsidRDefault="009A5089">
            <w:pPr>
              <w:pStyle w:val="TableParagraph"/>
            </w:pPr>
            <w:r>
              <w:rPr>
                <w:spacing w:val="-2"/>
              </w:rPr>
              <w:t>09/01/2019</w:t>
            </w:r>
          </w:p>
        </w:tc>
      </w:tr>
      <w:tr w:rsidR="00BA074C" w14:paraId="0DAD5865" w14:textId="77777777">
        <w:trPr>
          <w:trHeight w:val="537"/>
        </w:trPr>
        <w:tc>
          <w:tcPr>
            <w:tcW w:w="9350" w:type="dxa"/>
            <w:shd w:val="clear" w:color="auto" w:fill="E0DEFE"/>
          </w:tcPr>
          <w:p w14:paraId="0618F015" w14:textId="77777777" w:rsidR="00BA074C" w:rsidRDefault="009A5089">
            <w:pPr>
              <w:pStyle w:val="TableParagraph"/>
              <w:spacing w:line="268" w:lineRule="exact"/>
              <w:rPr>
                <w:b/>
              </w:rPr>
            </w:pPr>
            <w:r>
              <w:rPr>
                <w:b/>
              </w:rPr>
              <w:t>Revised</w:t>
            </w:r>
            <w:r>
              <w:rPr>
                <w:b/>
                <w:spacing w:val="-4"/>
              </w:rPr>
              <w:t xml:space="preserve"> </w:t>
            </w:r>
            <w:r>
              <w:rPr>
                <w:b/>
                <w:spacing w:val="-2"/>
              </w:rPr>
              <w:t>Date:</w:t>
            </w:r>
          </w:p>
          <w:p w14:paraId="05BF0EF4" w14:textId="1C7DB451" w:rsidR="00BA074C" w:rsidRDefault="003C385B">
            <w:pPr>
              <w:pStyle w:val="TableParagraph"/>
            </w:pPr>
            <w:r>
              <w:rPr>
                <w:spacing w:val="-2"/>
              </w:rPr>
              <w:t>12/10/2024</w:t>
            </w:r>
          </w:p>
        </w:tc>
      </w:tr>
    </w:tbl>
    <w:p w14:paraId="4E24E58B" w14:textId="77777777" w:rsidR="00BA074C" w:rsidRDefault="009A5089">
      <w:pPr>
        <w:pStyle w:val="Heading1"/>
        <w:spacing w:before="331"/>
      </w:pPr>
      <w:bookmarkStart w:id="1" w:name="Authority:"/>
      <w:bookmarkEnd w:id="1"/>
      <w:r>
        <w:rPr>
          <w:color w:val="3A1498"/>
          <w:spacing w:val="-2"/>
        </w:rPr>
        <w:t>Authority:</w:t>
      </w:r>
    </w:p>
    <w:p w14:paraId="7886F0F1" w14:textId="77777777" w:rsidR="00AA5831" w:rsidRPr="00AA5831" w:rsidRDefault="00AA5831" w:rsidP="00AA5831">
      <w:pPr>
        <w:spacing w:line="259" w:lineRule="auto"/>
        <w:ind w:left="107" w:right="91"/>
        <w:jc w:val="both"/>
      </w:pPr>
      <w:r w:rsidRPr="00AA5831">
        <w:t>State</w:t>
      </w:r>
      <w:r w:rsidRPr="00AA5831">
        <w:rPr>
          <w:spacing w:val="-4"/>
        </w:rPr>
        <w:t xml:space="preserve"> </w:t>
      </w:r>
      <w:r w:rsidRPr="00AA5831">
        <w:t>of</w:t>
      </w:r>
      <w:r w:rsidRPr="00AA5831">
        <w:rPr>
          <w:spacing w:val="-6"/>
        </w:rPr>
        <w:t xml:space="preserve"> </w:t>
      </w:r>
      <w:r w:rsidRPr="00AA5831">
        <w:t>Wisconsin:</w:t>
      </w:r>
      <w:r w:rsidRPr="00AA5831">
        <w:rPr>
          <w:spacing w:val="-3"/>
        </w:rPr>
        <w:t xml:space="preserve"> </w:t>
      </w:r>
      <w:hyperlink r:id="rId8">
        <w:r w:rsidRPr="00AA5831">
          <w:rPr>
            <w:color w:val="0563C1"/>
            <w:u w:val="single" w:color="0563C1"/>
          </w:rPr>
          <w:t>Wis.</w:t>
        </w:r>
        <w:r w:rsidRPr="00AA5831">
          <w:rPr>
            <w:color w:val="0563C1"/>
            <w:spacing w:val="-4"/>
            <w:u w:val="single" w:color="0563C1"/>
          </w:rPr>
          <w:t xml:space="preserve"> </w:t>
        </w:r>
        <w:r w:rsidRPr="00AA5831">
          <w:rPr>
            <w:color w:val="0563C1"/>
            <w:u w:val="single" w:color="0563C1"/>
          </w:rPr>
          <w:t>Stat.</w:t>
        </w:r>
        <w:r w:rsidRPr="00AA5831">
          <w:rPr>
            <w:color w:val="0563C1"/>
            <w:spacing w:val="-4"/>
            <w:u w:val="single" w:color="0563C1"/>
          </w:rPr>
          <w:t xml:space="preserve"> </w:t>
        </w:r>
        <w:r w:rsidRPr="00AA5831">
          <w:rPr>
            <w:color w:val="0563C1"/>
            <w:u w:val="single" w:color="0563C1"/>
          </w:rPr>
          <w:t>§</w:t>
        </w:r>
        <w:r w:rsidRPr="00AA5831">
          <w:rPr>
            <w:color w:val="0563C1"/>
            <w:spacing w:val="-4"/>
            <w:u w:val="single" w:color="0563C1"/>
          </w:rPr>
          <w:t xml:space="preserve"> </w:t>
        </w:r>
        <w:r w:rsidRPr="00AA5831">
          <w:rPr>
            <w:color w:val="0563C1"/>
            <w:u w:val="single" w:color="0563C1"/>
          </w:rPr>
          <w:t>16.61</w:t>
        </w:r>
        <w:r w:rsidRPr="00AA5831">
          <w:t>,</w:t>
        </w:r>
      </w:hyperlink>
      <w:r w:rsidRPr="00AA5831">
        <w:t xml:space="preserve"> </w:t>
      </w:r>
      <w:hyperlink r:id="rId9">
        <w:r w:rsidRPr="00AA5831">
          <w:rPr>
            <w:color w:val="0563C1"/>
            <w:u w:val="single" w:color="0563C1"/>
          </w:rPr>
          <w:t>Wis.</w:t>
        </w:r>
        <w:r w:rsidRPr="00AA5831">
          <w:rPr>
            <w:color w:val="0563C1"/>
            <w:spacing w:val="-4"/>
            <w:u w:val="single" w:color="0563C1"/>
          </w:rPr>
          <w:t xml:space="preserve"> </w:t>
        </w:r>
        <w:r w:rsidRPr="00AA5831">
          <w:rPr>
            <w:color w:val="0563C1"/>
            <w:u w:val="single" w:color="0563C1"/>
          </w:rPr>
          <w:t>Stat.</w:t>
        </w:r>
        <w:r w:rsidRPr="00AA5831">
          <w:rPr>
            <w:color w:val="0563C1"/>
            <w:spacing w:val="-4"/>
            <w:u w:val="single" w:color="0563C1"/>
          </w:rPr>
          <w:t xml:space="preserve"> </w:t>
        </w:r>
        <w:r w:rsidRPr="00AA5831">
          <w:rPr>
            <w:color w:val="0563C1"/>
            <w:u w:val="single" w:color="0563C1"/>
          </w:rPr>
          <w:t>§</w:t>
        </w:r>
        <w:r w:rsidRPr="00AA5831">
          <w:rPr>
            <w:color w:val="0563C1"/>
            <w:spacing w:val="-4"/>
            <w:u w:val="single" w:color="0563C1"/>
          </w:rPr>
          <w:t xml:space="preserve"> </w:t>
        </w:r>
        <w:r w:rsidRPr="00AA5831">
          <w:rPr>
            <w:color w:val="0563C1"/>
            <w:u w:val="single" w:color="0563C1"/>
          </w:rPr>
          <w:t>19.21(4)(b)</w:t>
        </w:r>
        <w:r w:rsidRPr="00AA5831">
          <w:rPr>
            <w:color w:val="0563C1"/>
            <w:spacing w:val="-4"/>
            <w:u w:val="single" w:color="0563C1"/>
          </w:rPr>
          <w:t xml:space="preserve"> </w:t>
        </w:r>
        <w:r w:rsidRPr="00AA5831">
          <w:rPr>
            <w:color w:val="0563C1"/>
            <w:u w:val="single" w:color="0563C1"/>
          </w:rPr>
          <w:t>&amp;</w:t>
        </w:r>
        <w:r w:rsidRPr="00AA5831">
          <w:rPr>
            <w:color w:val="0563C1"/>
            <w:spacing w:val="-4"/>
            <w:u w:val="single" w:color="0563C1"/>
          </w:rPr>
          <w:t xml:space="preserve"> </w:t>
        </w:r>
        <w:r w:rsidRPr="00AA5831">
          <w:rPr>
            <w:color w:val="0563C1"/>
            <w:u w:val="single" w:color="0563C1"/>
          </w:rPr>
          <w:t>(5)(c)</w:t>
        </w:r>
        <w:r w:rsidRPr="00AA5831">
          <w:t>,</w:t>
        </w:r>
      </w:hyperlink>
      <w:r w:rsidRPr="00AA5831">
        <w:rPr>
          <w:spacing w:val="40"/>
        </w:rPr>
        <w:t xml:space="preserve"> </w:t>
      </w:r>
      <w:hyperlink r:id="rId10">
        <w:r w:rsidRPr="00AA5831">
          <w:rPr>
            <w:color w:val="0563C1"/>
            <w:u w:val="single" w:color="0563C1"/>
          </w:rPr>
          <w:t>State</w:t>
        </w:r>
      </w:hyperlink>
      <w:r w:rsidRPr="00AA5831">
        <w:rPr>
          <w:color w:val="0563C1"/>
        </w:rPr>
        <w:t xml:space="preserve"> </w:t>
      </w:r>
      <w:hyperlink r:id="rId11">
        <w:r w:rsidRPr="00AA5831">
          <w:rPr>
            <w:color w:val="0563C1"/>
            <w:u w:val="single" w:color="0563C1"/>
          </w:rPr>
          <w:t>of Wisconsin General Records Schedule Policy</w:t>
        </w:r>
        <w:r w:rsidRPr="00AA5831">
          <w:t>,</w:t>
        </w:r>
      </w:hyperlink>
      <w:r w:rsidRPr="00AA5831">
        <w:t xml:space="preserve"> </w:t>
      </w:r>
      <w:hyperlink r:id="rId12">
        <w:r w:rsidRPr="00AA5831">
          <w:rPr>
            <w:color w:val="0563C1"/>
            <w:u w:val="single" w:color="0563C1"/>
          </w:rPr>
          <w:t>Wisconsin Administrative</w:t>
        </w:r>
      </w:hyperlink>
      <w:r>
        <w:rPr>
          <w:color w:val="0563C1"/>
          <w:u w:val="single"/>
        </w:rPr>
        <w:t xml:space="preserve"> </w:t>
      </w:r>
      <w:hyperlink r:id="rId13">
        <w:r w:rsidRPr="00AA5831">
          <w:rPr>
            <w:color w:val="0563C1"/>
            <w:u w:val="single" w:color="0563C1"/>
          </w:rPr>
          <w:t>Code Chapter Adm. 12.</w:t>
        </w:r>
      </w:hyperlink>
    </w:p>
    <w:p w14:paraId="6BD63985" w14:textId="77777777" w:rsidR="00AA5831" w:rsidRPr="00AA5831" w:rsidRDefault="00AA5831" w:rsidP="00AA5831">
      <w:pPr>
        <w:spacing w:line="259" w:lineRule="auto"/>
        <w:ind w:left="107" w:right="94"/>
        <w:jc w:val="both"/>
      </w:pPr>
      <w:r w:rsidRPr="00AA5831">
        <w:t>UW System</w:t>
      </w:r>
      <w:hyperlink r:id="rId14">
        <w:r w:rsidRPr="00AA5831">
          <w:rPr>
            <w:color w:val="0563C1"/>
            <w:u w:val="single" w:color="0563C1"/>
          </w:rPr>
          <w:t>: UW System General Schedules and Records Management</w:t>
        </w:r>
      </w:hyperlink>
      <w:r>
        <w:rPr>
          <w:color w:val="0563C1"/>
          <w:u w:val="single"/>
        </w:rPr>
        <w:t xml:space="preserve"> </w:t>
      </w:r>
      <w:hyperlink r:id="rId15">
        <w:r w:rsidRPr="00AA5831">
          <w:rPr>
            <w:color w:val="0563C1"/>
            <w:u w:val="single" w:color="0563C1"/>
          </w:rPr>
          <w:t>Services</w:t>
        </w:r>
        <w:r w:rsidRPr="00AA5831">
          <w:t>,</w:t>
        </w:r>
      </w:hyperlink>
      <w:r w:rsidRPr="00AA5831">
        <w:t xml:space="preserve"> </w:t>
      </w:r>
      <w:r w:rsidRPr="00AA5831">
        <w:rPr>
          <w:color w:val="0563C1"/>
          <w:u w:val="single" w:color="0563C1"/>
        </w:rPr>
        <w:t xml:space="preserve"> </w:t>
      </w:r>
      <w:hyperlink r:id="rId16">
        <w:r w:rsidRPr="00AA5831">
          <w:rPr>
            <w:color w:val="0563C1"/>
            <w:u w:val="single" w:color="0563C1"/>
          </w:rPr>
          <w:t>Regent Policy Document 3-2</w:t>
        </w:r>
      </w:hyperlink>
      <w:r w:rsidRPr="00AA5831">
        <w:t>,</w:t>
      </w:r>
      <w:r w:rsidRPr="00AA5831">
        <w:rPr>
          <w:color w:val="0563C1"/>
        </w:rPr>
        <w:t xml:space="preserve"> </w:t>
      </w:r>
      <w:r w:rsidRPr="00AA5831">
        <w:rPr>
          <w:color w:val="0563C1"/>
          <w:u w:val="single" w:color="0563C1"/>
        </w:rPr>
        <w:t xml:space="preserve"> </w:t>
      </w:r>
      <w:hyperlink r:id="rId17">
        <w:r w:rsidRPr="00AA5831">
          <w:rPr>
            <w:color w:val="0563C1"/>
            <w:u w:val="single" w:color="0563C1"/>
          </w:rPr>
          <w:t>Regent Policy Document 25-5</w:t>
        </w:r>
      </w:hyperlink>
      <w:r w:rsidRPr="00AA5831">
        <w:rPr>
          <w:u w:val="single" w:color="0563C1"/>
        </w:rPr>
        <w:t>,</w:t>
      </w:r>
      <w:r w:rsidRPr="00AA5831">
        <w:rPr>
          <w:color w:val="0563C1"/>
        </w:rPr>
        <w:t xml:space="preserve"> </w:t>
      </w:r>
      <w:hyperlink r:id="rId18">
        <w:r w:rsidRPr="00AA5831">
          <w:rPr>
            <w:color w:val="0563C1"/>
            <w:u w:val="single" w:color="0563C1"/>
          </w:rPr>
          <w:t>UW</w:t>
        </w:r>
      </w:hyperlink>
      <w:r w:rsidRPr="00AA5831">
        <w:rPr>
          <w:color w:val="0563C1"/>
        </w:rPr>
        <w:t xml:space="preserve"> </w:t>
      </w:r>
      <w:hyperlink r:id="rId19">
        <w:r w:rsidRPr="00AA5831">
          <w:rPr>
            <w:color w:val="0563C1"/>
            <w:u w:val="single" w:color="0563C1"/>
          </w:rPr>
          <w:t>System Admin. Procedure 1031.</w:t>
        </w:r>
      </w:hyperlink>
    </w:p>
    <w:p w14:paraId="146999C8" w14:textId="77777777" w:rsidR="00BA074C" w:rsidRDefault="00AA5831" w:rsidP="00AA5831">
      <w:pPr>
        <w:pStyle w:val="BodyText"/>
        <w:spacing w:before="51"/>
        <w:ind w:left="0" w:firstLine="107"/>
        <w:rPr>
          <w:sz w:val="26"/>
        </w:rPr>
      </w:pPr>
      <w:r w:rsidRPr="00AA5831">
        <w:t>UW-Whitewater</w:t>
      </w:r>
      <w:hyperlink r:id="rId20">
        <w:r w:rsidRPr="00AA5831">
          <w:rPr>
            <w:color w:val="0563C1"/>
          </w:rPr>
          <w:t>:</w:t>
        </w:r>
        <w:r w:rsidRPr="00AA5831">
          <w:rPr>
            <w:color w:val="0563C1"/>
            <w:spacing w:val="-7"/>
          </w:rPr>
          <w:t xml:space="preserve"> </w:t>
        </w:r>
        <w:r w:rsidRPr="00AA5831">
          <w:rPr>
            <w:color w:val="0563C1"/>
            <w:u w:val="single" w:color="0563C1"/>
          </w:rPr>
          <w:t>File</w:t>
        </w:r>
        <w:r w:rsidRPr="00AA5831">
          <w:rPr>
            <w:color w:val="0563C1"/>
            <w:spacing w:val="-6"/>
            <w:u w:val="single" w:color="0563C1"/>
          </w:rPr>
          <w:t xml:space="preserve"> </w:t>
        </w:r>
        <w:r w:rsidRPr="00AA5831">
          <w:rPr>
            <w:color w:val="0563C1"/>
            <w:u w:val="single" w:color="0563C1"/>
          </w:rPr>
          <w:t>Storage</w:t>
        </w:r>
        <w:r w:rsidRPr="00AA5831">
          <w:rPr>
            <w:color w:val="0563C1"/>
            <w:spacing w:val="-6"/>
            <w:u w:val="single" w:color="0563C1"/>
          </w:rPr>
          <w:t xml:space="preserve"> </w:t>
        </w:r>
        <w:r w:rsidRPr="00AA5831">
          <w:rPr>
            <w:color w:val="0563C1"/>
            <w:u w:val="single" w:color="0563C1"/>
          </w:rPr>
          <w:t>Policy</w:t>
        </w:r>
      </w:hyperlink>
      <w:r w:rsidRPr="00AA5831">
        <w:t xml:space="preserve">, </w:t>
      </w:r>
      <w:hyperlink r:id="rId21">
        <w:r w:rsidRPr="00AA5831">
          <w:rPr>
            <w:color w:val="0563C1"/>
            <w:u w:val="single" w:color="0563C1"/>
          </w:rPr>
          <w:t>Data</w:t>
        </w:r>
        <w:r w:rsidRPr="00AA5831">
          <w:rPr>
            <w:color w:val="0563C1"/>
            <w:spacing w:val="-8"/>
            <w:u w:val="single" w:color="0563C1"/>
          </w:rPr>
          <w:t xml:space="preserve"> </w:t>
        </w:r>
        <w:r w:rsidRPr="00AA5831">
          <w:rPr>
            <w:color w:val="0563C1"/>
            <w:u w:val="single" w:color="0563C1"/>
          </w:rPr>
          <w:t>Custodianship</w:t>
        </w:r>
        <w:r w:rsidRPr="00AA5831">
          <w:rPr>
            <w:color w:val="0563C1"/>
            <w:spacing w:val="-7"/>
            <w:u w:val="single" w:color="0563C1"/>
          </w:rPr>
          <w:t xml:space="preserve"> </w:t>
        </w:r>
        <w:r w:rsidRPr="00AA5831">
          <w:rPr>
            <w:color w:val="0563C1"/>
            <w:spacing w:val="-2"/>
            <w:u w:val="single" w:color="0563C1"/>
          </w:rPr>
          <w:t>Policy.</w:t>
        </w:r>
      </w:hyperlink>
    </w:p>
    <w:p w14:paraId="323D47E0" w14:textId="77777777" w:rsidR="00BA074C" w:rsidRDefault="009A5089">
      <w:pPr>
        <w:pStyle w:val="Heading1"/>
      </w:pPr>
      <w:bookmarkStart w:id="2" w:name="Objective:"/>
      <w:bookmarkEnd w:id="2"/>
      <w:r>
        <w:rPr>
          <w:color w:val="3A1498"/>
          <w:spacing w:val="-2"/>
        </w:rPr>
        <w:t>Objective:</w:t>
      </w:r>
    </w:p>
    <w:p w14:paraId="73FB3B62" w14:textId="77777777" w:rsidR="00BA074C" w:rsidRDefault="009A5089">
      <w:pPr>
        <w:pStyle w:val="BodyText"/>
        <w:spacing w:before="21" w:line="259" w:lineRule="auto"/>
        <w:ind w:right="117"/>
        <w:jc w:val="both"/>
      </w:pPr>
      <w:r>
        <w:t>Records</w:t>
      </w:r>
      <w:r>
        <w:rPr>
          <w:spacing w:val="-1"/>
        </w:rPr>
        <w:t xml:space="preserve"> </w:t>
      </w:r>
      <w:r>
        <w:t>are a</w:t>
      </w:r>
      <w:r>
        <w:rPr>
          <w:spacing w:val="-1"/>
        </w:rPr>
        <w:t xml:space="preserve"> </w:t>
      </w:r>
      <w:r>
        <w:t>basic</w:t>
      </w:r>
      <w:r>
        <w:rPr>
          <w:spacing w:val="-1"/>
        </w:rPr>
        <w:t xml:space="preserve"> </w:t>
      </w:r>
      <w:r>
        <w:t>tool</w:t>
      </w:r>
      <w:r>
        <w:rPr>
          <w:spacing w:val="-4"/>
        </w:rPr>
        <w:t xml:space="preserve"> </w:t>
      </w:r>
      <w:r>
        <w:t>of</w:t>
      </w:r>
      <w:r>
        <w:rPr>
          <w:spacing w:val="-1"/>
        </w:rPr>
        <w:t xml:space="preserve"> </w:t>
      </w:r>
      <w:r>
        <w:t>transacting</w:t>
      </w:r>
      <w:r>
        <w:rPr>
          <w:spacing w:val="-2"/>
        </w:rPr>
        <w:t xml:space="preserve"> </w:t>
      </w:r>
      <w:r>
        <w:t>business</w:t>
      </w:r>
      <w:r>
        <w:rPr>
          <w:spacing w:val="-1"/>
        </w:rPr>
        <w:t xml:space="preserve"> </w:t>
      </w:r>
      <w:r>
        <w:t>on</w:t>
      </w:r>
      <w:r>
        <w:rPr>
          <w:spacing w:val="-2"/>
        </w:rPr>
        <w:t xml:space="preserve"> </w:t>
      </w:r>
      <w:r>
        <w:t>behalf</w:t>
      </w:r>
      <w:r>
        <w:rPr>
          <w:spacing w:val="-1"/>
        </w:rPr>
        <w:t xml:space="preserve"> </w:t>
      </w:r>
      <w:r>
        <w:t>of</w:t>
      </w:r>
      <w:r>
        <w:rPr>
          <w:spacing w:val="-1"/>
        </w:rPr>
        <w:t xml:space="preserve"> </w:t>
      </w:r>
      <w:r>
        <w:t>all</w:t>
      </w:r>
      <w:r>
        <w:rPr>
          <w:spacing w:val="-1"/>
        </w:rPr>
        <w:t xml:space="preserve"> </w:t>
      </w:r>
      <w:r>
        <w:t>units</w:t>
      </w:r>
      <w:r>
        <w:rPr>
          <w:spacing w:val="-1"/>
        </w:rPr>
        <w:t xml:space="preserve"> </w:t>
      </w:r>
      <w:r>
        <w:t>of</w:t>
      </w:r>
      <w:r>
        <w:rPr>
          <w:spacing w:val="-1"/>
        </w:rPr>
        <w:t xml:space="preserve"> </w:t>
      </w:r>
      <w:r>
        <w:t>Wisconsin</w:t>
      </w:r>
      <w:r>
        <w:rPr>
          <w:spacing w:val="-2"/>
        </w:rPr>
        <w:t xml:space="preserve"> </w:t>
      </w:r>
      <w:r>
        <w:t>Government.</w:t>
      </w:r>
      <w:r>
        <w:rPr>
          <w:spacing w:val="-1"/>
        </w:rPr>
        <w:t xml:space="preserve"> </w:t>
      </w:r>
      <w:r>
        <w:t>They are also</w:t>
      </w:r>
      <w:r>
        <w:rPr>
          <w:spacing w:val="-4"/>
        </w:rPr>
        <w:t xml:space="preserve"> </w:t>
      </w:r>
      <w:r>
        <w:t>the</w:t>
      </w:r>
      <w:r>
        <w:rPr>
          <w:spacing w:val="-5"/>
        </w:rPr>
        <w:t xml:space="preserve"> </w:t>
      </w:r>
      <w:r>
        <w:t>foundation</w:t>
      </w:r>
      <w:r>
        <w:rPr>
          <w:spacing w:val="-6"/>
        </w:rPr>
        <w:t xml:space="preserve"> </w:t>
      </w:r>
      <w:r>
        <w:t>for</w:t>
      </w:r>
      <w:r>
        <w:rPr>
          <w:spacing w:val="-5"/>
        </w:rPr>
        <w:t xml:space="preserve"> </w:t>
      </w:r>
      <w:r>
        <w:t>government</w:t>
      </w:r>
      <w:r>
        <w:rPr>
          <w:spacing w:val="-5"/>
        </w:rPr>
        <w:t xml:space="preserve"> </w:t>
      </w:r>
      <w:r>
        <w:t>accountability.</w:t>
      </w:r>
      <w:r>
        <w:rPr>
          <w:spacing w:val="-6"/>
        </w:rPr>
        <w:t xml:space="preserve"> </w:t>
      </w:r>
      <w:r>
        <w:t>Records</w:t>
      </w:r>
      <w:r>
        <w:rPr>
          <w:spacing w:val="-8"/>
        </w:rPr>
        <w:t xml:space="preserve"> </w:t>
      </w:r>
      <w:r>
        <w:t>management</w:t>
      </w:r>
      <w:r>
        <w:rPr>
          <w:spacing w:val="-7"/>
        </w:rPr>
        <w:t xml:space="preserve"> </w:t>
      </w:r>
      <w:r>
        <w:t>is</w:t>
      </w:r>
      <w:r>
        <w:rPr>
          <w:spacing w:val="-5"/>
        </w:rPr>
        <w:t xml:space="preserve"> </w:t>
      </w:r>
      <w:r>
        <w:t>regulated</w:t>
      </w:r>
      <w:r>
        <w:rPr>
          <w:spacing w:val="-6"/>
        </w:rPr>
        <w:t xml:space="preserve"> </w:t>
      </w:r>
      <w:r>
        <w:t>by</w:t>
      </w:r>
      <w:r>
        <w:rPr>
          <w:spacing w:val="-7"/>
        </w:rPr>
        <w:t xml:space="preserve"> </w:t>
      </w:r>
      <w:r>
        <w:t>Wisconsin</w:t>
      </w:r>
      <w:r>
        <w:rPr>
          <w:spacing w:val="-6"/>
        </w:rPr>
        <w:t xml:space="preserve"> </w:t>
      </w:r>
      <w:r>
        <w:t>state law,</w:t>
      </w:r>
      <w:r>
        <w:rPr>
          <w:spacing w:val="-2"/>
        </w:rPr>
        <w:t xml:space="preserve"> </w:t>
      </w:r>
      <w:r>
        <w:t>and</w:t>
      </w:r>
      <w:r>
        <w:rPr>
          <w:spacing w:val="-3"/>
        </w:rPr>
        <w:t xml:space="preserve"> </w:t>
      </w:r>
      <w:r>
        <w:t>accordingly,</w:t>
      </w:r>
      <w:r>
        <w:rPr>
          <w:spacing w:val="-2"/>
        </w:rPr>
        <w:t xml:space="preserve"> </w:t>
      </w:r>
      <w:r>
        <w:t>General</w:t>
      </w:r>
      <w:r>
        <w:rPr>
          <w:spacing w:val="-2"/>
        </w:rPr>
        <w:t xml:space="preserve"> </w:t>
      </w:r>
      <w:r>
        <w:t>Records</w:t>
      </w:r>
      <w:r>
        <w:rPr>
          <w:spacing w:val="-2"/>
        </w:rPr>
        <w:t xml:space="preserve"> </w:t>
      </w:r>
      <w:r>
        <w:t>Schedules</w:t>
      </w:r>
      <w:r>
        <w:rPr>
          <w:spacing w:val="-2"/>
        </w:rPr>
        <w:t xml:space="preserve"> </w:t>
      </w:r>
      <w:r>
        <w:t>(GRSs)</w:t>
      </w:r>
      <w:r>
        <w:rPr>
          <w:spacing w:val="-2"/>
        </w:rPr>
        <w:t xml:space="preserve"> </w:t>
      </w:r>
      <w:r>
        <w:t>provide</w:t>
      </w:r>
      <w:r>
        <w:rPr>
          <w:spacing w:val="-2"/>
        </w:rPr>
        <w:t xml:space="preserve"> </w:t>
      </w:r>
      <w:r>
        <w:t>legal</w:t>
      </w:r>
      <w:r>
        <w:rPr>
          <w:spacing w:val="-2"/>
        </w:rPr>
        <w:t xml:space="preserve"> </w:t>
      </w:r>
      <w:r>
        <w:t>authorization</w:t>
      </w:r>
      <w:r>
        <w:rPr>
          <w:spacing w:val="-3"/>
        </w:rPr>
        <w:t xml:space="preserve"> </w:t>
      </w:r>
      <w:r>
        <w:t>to</w:t>
      </w:r>
      <w:r>
        <w:rPr>
          <w:spacing w:val="-3"/>
        </w:rPr>
        <w:t xml:space="preserve"> </w:t>
      </w:r>
      <w:r>
        <w:t>dispose</w:t>
      </w:r>
      <w:r>
        <w:rPr>
          <w:spacing w:val="-4"/>
        </w:rPr>
        <w:t xml:space="preserve"> </w:t>
      </w:r>
      <w:r>
        <w:t>of</w:t>
      </w:r>
      <w:r>
        <w:rPr>
          <w:spacing w:val="-2"/>
        </w:rPr>
        <w:t xml:space="preserve"> </w:t>
      </w:r>
      <w:r>
        <w:t>records common to a business function on a regularly scheduled basis.</w:t>
      </w:r>
    </w:p>
    <w:p w14:paraId="082204BC" w14:textId="77777777" w:rsidR="00BA074C" w:rsidRDefault="00BA074C">
      <w:pPr>
        <w:pStyle w:val="BodyText"/>
        <w:spacing w:before="20"/>
        <w:ind w:left="0"/>
      </w:pPr>
    </w:p>
    <w:p w14:paraId="1C1C4397" w14:textId="77777777" w:rsidR="00BA074C" w:rsidRDefault="009A5089">
      <w:pPr>
        <w:pStyle w:val="BodyText"/>
        <w:spacing w:line="259" w:lineRule="auto"/>
        <w:ind w:left="119" w:right="112"/>
        <w:jc w:val="both"/>
      </w:pPr>
      <w:r>
        <w:t>General Records Schedules are a mechanism for consistent retention and disposition of similar types of records across all government units and provide assurance of accountability to the public. GRSs also contain guidelines for complying with legal, fiscal, and archival requirements for records retention and facilitate cost-effective management of records commonly found in all government units.</w:t>
      </w:r>
    </w:p>
    <w:p w14:paraId="0359C08A" w14:textId="77777777" w:rsidR="00BA074C" w:rsidRDefault="00BA074C">
      <w:pPr>
        <w:pStyle w:val="BodyText"/>
        <w:spacing w:before="21"/>
        <w:ind w:left="0"/>
      </w:pPr>
    </w:p>
    <w:p w14:paraId="253C28F4" w14:textId="77777777" w:rsidR="00BA074C" w:rsidRDefault="009A5089">
      <w:pPr>
        <w:pStyle w:val="BodyText"/>
        <w:spacing w:line="259" w:lineRule="auto"/>
        <w:ind w:left="119" w:right="114"/>
        <w:jc w:val="both"/>
      </w:pPr>
      <w:r>
        <w:t>All</w:t>
      </w:r>
      <w:r>
        <w:rPr>
          <w:spacing w:val="-9"/>
        </w:rPr>
        <w:t xml:space="preserve"> </w:t>
      </w:r>
      <w:r>
        <w:t>employees</w:t>
      </w:r>
      <w:r>
        <w:rPr>
          <w:spacing w:val="-11"/>
        </w:rPr>
        <w:t xml:space="preserve"> </w:t>
      </w:r>
      <w:r>
        <w:t>of</w:t>
      </w:r>
      <w:r>
        <w:rPr>
          <w:spacing w:val="-12"/>
        </w:rPr>
        <w:t xml:space="preserve"> </w:t>
      </w:r>
      <w:r>
        <w:t>the</w:t>
      </w:r>
      <w:r>
        <w:rPr>
          <w:spacing w:val="-11"/>
        </w:rPr>
        <w:t xml:space="preserve"> </w:t>
      </w:r>
      <w:r>
        <w:t>University</w:t>
      </w:r>
      <w:r>
        <w:rPr>
          <w:spacing w:val="-11"/>
        </w:rPr>
        <w:t xml:space="preserve"> </w:t>
      </w:r>
      <w:r>
        <w:t>of</w:t>
      </w:r>
      <w:r>
        <w:rPr>
          <w:spacing w:val="-12"/>
        </w:rPr>
        <w:t xml:space="preserve"> </w:t>
      </w:r>
      <w:r>
        <w:t>Wisconsin-Whitewater</w:t>
      </w:r>
      <w:r>
        <w:rPr>
          <w:spacing w:val="-9"/>
        </w:rPr>
        <w:t xml:space="preserve"> </w:t>
      </w:r>
      <w:r>
        <w:t>(University)</w:t>
      </w:r>
      <w:r>
        <w:rPr>
          <w:spacing w:val="-11"/>
        </w:rPr>
        <w:t xml:space="preserve"> </w:t>
      </w:r>
      <w:r>
        <w:t>are</w:t>
      </w:r>
      <w:r>
        <w:rPr>
          <w:spacing w:val="-11"/>
        </w:rPr>
        <w:t xml:space="preserve"> </w:t>
      </w:r>
      <w:r>
        <w:t>agents</w:t>
      </w:r>
      <w:r>
        <w:rPr>
          <w:spacing w:val="-11"/>
        </w:rPr>
        <w:t xml:space="preserve"> </w:t>
      </w:r>
      <w:r>
        <w:t>of</w:t>
      </w:r>
      <w:r>
        <w:rPr>
          <w:spacing w:val="-9"/>
        </w:rPr>
        <w:t xml:space="preserve"> </w:t>
      </w:r>
      <w:r>
        <w:t>the</w:t>
      </w:r>
      <w:r>
        <w:rPr>
          <w:spacing w:val="-8"/>
        </w:rPr>
        <w:t xml:space="preserve"> </w:t>
      </w:r>
      <w:r>
        <w:t>State</w:t>
      </w:r>
      <w:r>
        <w:rPr>
          <w:spacing w:val="-11"/>
        </w:rPr>
        <w:t xml:space="preserve"> </w:t>
      </w:r>
      <w:r>
        <w:t>of</w:t>
      </w:r>
      <w:r>
        <w:rPr>
          <w:spacing w:val="-12"/>
        </w:rPr>
        <w:t xml:space="preserve"> </w:t>
      </w:r>
      <w:r>
        <w:t>Wisconsin and must obey all federal, state, and UW System policies on records management and GRSs.</w:t>
      </w:r>
    </w:p>
    <w:p w14:paraId="0FFBE2AC" w14:textId="77777777" w:rsidR="00BA074C" w:rsidRDefault="00BA074C">
      <w:pPr>
        <w:pStyle w:val="BodyText"/>
        <w:spacing w:before="20"/>
        <w:ind w:left="0"/>
      </w:pPr>
    </w:p>
    <w:p w14:paraId="4D33A5A5" w14:textId="77777777" w:rsidR="00BA074C" w:rsidRDefault="009A5089">
      <w:pPr>
        <w:pStyle w:val="BodyText"/>
        <w:spacing w:line="259" w:lineRule="auto"/>
        <w:ind w:left="119" w:right="115"/>
        <w:jc w:val="both"/>
      </w:pPr>
      <w:proofErr w:type="gramStart"/>
      <w:r>
        <w:t>In</w:t>
      </w:r>
      <w:r>
        <w:rPr>
          <w:spacing w:val="-10"/>
        </w:rPr>
        <w:t xml:space="preserve"> </w:t>
      </w:r>
      <w:r>
        <w:t>order</w:t>
      </w:r>
      <w:r>
        <w:rPr>
          <w:spacing w:val="-9"/>
        </w:rPr>
        <w:t xml:space="preserve"> </w:t>
      </w:r>
      <w:r>
        <w:t>to</w:t>
      </w:r>
      <w:proofErr w:type="gramEnd"/>
      <w:r>
        <w:rPr>
          <w:spacing w:val="-8"/>
        </w:rPr>
        <w:t xml:space="preserve"> </w:t>
      </w:r>
      <w:r>
        <w:t>support</w:t>
      </w:r>
      <w:r>
        <w:rPr>
          <w:spacing w:val="-8"/>
        </w:rPr>
        <w:t xml:space="preserve"> </w:t>
      </w:r>
      <w:r>
        <w:t>record</w:t>
      </w:r>
      <w:r>
        <w:rPr>
          <w:spacing w:val="-12"/>
        </w:rPr>
        <w:t xml:space="preserve"> </w:t>
      </w:r>
      <w:r>
        <w:t>management</w:t>
      </w:r>
      <w:r>
        <w:rPr>
          <w:spacing w:val="-9"/>
        </w:rPr>
        <w:t xml:space="preserve"> </w:t>
      </w:r>
      <w:r>
        <w:t>best</w:t>
      </w:r>
      <w:r>
        <w:rPr>
          <w:spacing w:val="-8"/>
        </w:rPr>
        <w:t xml:space="preserve"> </w:t>
      </w:r>
      <w:r>
        <w:t>practices</w:t>
      </w:r>
      <w:r>
        <w:rPr>
          <w:spacing w:val="-9"/>
        </w:rPr>
        <w:t xml:space="preserve"> </w:t>
      </w:r>
      <w:r>
        <w:t>and</w:t>
      </w:r>
      <w:r>
        <w:rPr>
          <w:spacing w:val="-10"/>
        </w:rPr>
        <w:t xml:space="preserve"> </w:t>
      </w:r>
      <w:r>
        <w:t>to</w:t>
      </w:r>
      <w:r>
        <w:rPr>
          <w:spacing w:val="-8"/>
        </w:rPr>
        <w:t xml:space="preserve"> </w:t>
      </w:r>
      <w:r>
        <w:t>be</w:t>
      </w:r>
      <w:r>
        <w:rPr>
          <w:spacing w:val="-8"/>
        </w:rPr>
        <w:t xml:space="preserve"> </w:t>
      </w:r>
      <w:r>
        <w:t>in</w:t>
      </w:r>
      <w:r>
        <w:rPr>
          <w:spacing w:val="-10"/>
        </w:rPr>
        <w:t xml:space="preserve"> </w:t>
      </w:r>
      <w:r>
        <w:t>compliance</w:t>
      </w:r>
      <w:r>
        <w:rPr>
          <w:spacing w:val="-8"/>
        </w:rPr>
        <w:t xml:space="preserve"> </w:t>
      </w:r>
      <w:r>
        <w:t>with</w:t>
      </w:r>
      <w:r>
        <w:rPr>
          <w:spacing w:val="-10"/>
        </w:rPr>
        <w:t xml:space="preserve"> </w:t>
      </w:r>
      <w:r>
        <w:t>state</w:t>
      </w:r>
      <w:r>
        <w:rPr>
          <w:spacing w:val="-8"/>
        </w:rPr>
        <w:t xml:space="preserve"> </w:t>
      </w:r>
      <w:r>
        <w:t>and</w:t>
      </w:r>
      <w:r>
        <w:rPr>
          <w:spacing w:val="-10"/>
        </w:rPr>
        <w:t xml:space="preserve"> </w:t>
      </w:r>
      <w:r>
        <w:t>UW</w:t>
      </w:r>
      <w:r>
        <w:rPr>
          <w:spacing w:val="-9"/>
        </w:rPr>
        <w:t xml:space="preserve"> </w:t>
      </w:r>
      <w:r>
        <w:t>System policies,</w:t>
      </w:r>
      <w:r>
        <w:rPr>
          <w:spacing w:val="-6"/>
        </w:rPr>
        <w:t xml:space="preserve"> </w:t>
      </w:r>
      <w:r>
        <w:t>the</w:t>
      </w:r>
      <w:r>
        <w:rPr>
          <w:spacing w:val="-6"/>
        </w:rPr>
        <w:t xml:space="preserve"> </w:t>
      </w:r>
      <w:r>
        <w:t>University</w:t>
      </w:r>
      <w:r>
        <w:rPr>
          <w:spacing w:val="-6"/>
        </w:rPr>
        <w:t xml:space="preserve"> </w:t>
      </w:r>
      <w:r>
        <w:t>is</w:t>
      </w:r>
      <w:r>
        <w:rPr>
          <w:spacing w:val="-9"/>
        </w:rPr>
        <w:t xml:space="preserve"> </w:t>
      </w:r>
      <w:r>
        <w:t>establishing</w:t>
      </w:r>
      <w:r>
        <w:rPr>
          <w:spacing w:val="-7"/>
        </w:rPr>
        <w:t xml:space="preserve"> </w:t>
      </w:r>
      <w:r>
        <w:t>general</w:t>
      </w:r>
      <w:r>
        <w:rPr>
          <w:spacing w:val="-7"/>
        </w:rPr>
        <w:t xml:space="preserve"> </w:t>
      </w:r>
      <w:r>
        <w:t>guidelines</w:t>
      </w:r>
      <w:r>
        <w:rPr>
          <w:spacing w:val="-7"/>
        </w:rPr>
        <w:t xml:space="preserve"> </w:t>
      </w:r>
      <w:r>
        <w:t>on</w:t>
      </w:r>
      <w:r>
        <w:rPr>
          <w:spacing w:val="-7"/>
        </w:rPr>
        <w:t xml:space="preserve"> </w:t>
      </w:r>
      <w:r>
        <w:t>how</w:t>
      </w:r>
      <w:r>
        <w:rPr>
          <w:spacing w:val="-6"/>
        </w:rPr>
        <w:t xml:space="preserve"> </w:t>
      </w:r>
      <w:r>
        <w:t>to</w:t>
      </w:r>
      <w:r>
        <w:rPr>
          <w:spacing w:val="-5"/>
        </w:rPr>
        <w:t xml:space="preserve"> </w:t>
      </w:r>
      <w:r>
        <w:t>identify</w:t>
      </w:r>
      <w:r>
        <w:rPr>
          <w:spacing w:val="-6"/>
        </w:rPr>
        <w:t xml:space="preserve"> </w:t>
      </w:r>
      <w:r>
        <w:t>records</w:t>
      </w:r>
      <w:r>
        <w:rPr>
          <w:spacing w:val="-7"/>
        </w:rPr>
        <w:t xml:space="preserve"> </w:t>
      </w:r>
      <w:r>
        <w:t>that</w:t>
      </w:r>
      <w:r>
        <w:rPr>
          <w:spacing w:val="-6"/>
        </w:rPr>
        <w:t xml:space="preserve"> </w:t>
      </w:r>
      <w:r>
        <w:t>must</w:t>
      </w:r>
      <w:r>
        <w:rPr>
          <w:spacing w:val="-6"/>
        </w:rPr>
        <w:t xml:space="preserve"> </w:t>
      </w:r>
      <w:r>
        <w:t>be</w:t>
      </w:r>
      <w:r>
        <w:rPr>
          <w:spacing w:val="-6"/>
        </w:rPr>
        <w:t xml:space="preserve"> </w:t>
      </w:r>
      <w:r>
        <w:t>retained in accordance with General Records Schedules, how to securely store retained records, and how to properly dispose of records.</w:t>
      </w:r>
    </w:p>
    <w:p w14:paraId="51667784" w14:textId="77777777" w:rsidR="00BA074C" w:rsidRDefault="00BA074C">
      <w:pPr>
        <w:spacing w:line="259" w:lineRule="auto"/>
        <w:jc w:val="both"/>
        <w:sectPr w:rsidR="00BA074C">
          <w:footerReference w:type="default" r:id="rId22"/>
          <w:type w:val="continuous"/>
          <w:pgSz w:w="12240" w:h="15840"/>
          <w:pgMar w:top="1160" w:right="1320" w:bottom="1180" w:left="1320" w:header="0" w:footer="998" w:gutter="0"/>
          <w:pgNumType w:start="1"/>
          <w:cols w:space="720"/>
        </w:sectPr>
      </w:pPr>
    </w:p>
    <w:p w14:paraId="6303F538" w14:textId="77777777" w:rsidR="00BA074C" w:rsidRDefault="009A5089">
      <w:pPr>
        <w:pStyle w:val="Heading1"/>
        <w:spacing w:before="31"/>
      </w:pPr>
      <w:bookmarkStart w:id="3" w:name="Statement:"/>
      <w:bookmarkStart w:id="4" w:name="This_practice_directive,_and_its_corresp"/>
      <w:bookmarkEnd w:id="3"/>
      <w:bookmarkEnd w:id="4"/>
      <w:r>
        <w:rPr>
          <w:color w:val="3A1498"/>
          <w:spacing w:val="-2"/>
        </w:rPr>
        <w:lastRenderedPageBreak/>
        <w:t>Statement:</w:t>
      </w:r>
    </w:p>
    <w:p w14:paraId="29E33F42" w14:textId="77777777" w:rsidR="00BA074C" w:rsidRDefault="009A5089">
      <w:pPr>
        <w:pStyle w:val="BodyText"/>
        <w:spacing w:before="38" w:line="259" w:lineRule="auto"/>
        <w:ind w:left="119" w:right="113"/>
        <w:jc w:val="both"/>
      </w:pPr>
      <w:r>
        <w:t>This</w:t>
      </w:r>
      <w:r>
        <w:rPr>
          <w:spacing w:val="-3"/>
        </w:rPr>
        <w:t xml:space="preserve"> </w:t>
      </w:r>
      <w:r>
        <w:t>practice</w:t>
      </w:r>
      <w:r>
        <w:rPr>
          <w:spacing w:val="-2"/>
        </w:rPr>
        <w:t xml:space="preserve"> </w:t>
      </w:r>
      <w:r>
        <w:t>directive,</w:t>
      </w:r>
      <w:r>
        <w:rPr>
          <w:spacing w:val="-5"/>
        </w:rPr>
        <w:t xml:space="preserve"> </w:t>
      </w:r>
      <w:r>
        <w:t>and</w:t>
      </w:r>
      <w:r>
        <w:rPr>
          <w:spacing w:val="-6"/>
        </w:rPr>
        <w:t xml:space="preserve"> </w:t>
      </w:r>
      <w:r>
        <w:t>its</w:t>
      </w:r>
      <w:r>
        <w:rPr>
          <w:spacing w:val="-3"/>
        </w:rPr>
        <w:t xml:space="preserve"> </w:t>
      </w:r>
      <w:r>
        <w:t>corresponding</w:t>
      </w:r>
      <w:r>
        <w:rPr>
          <w:spacing w:val="-4"/>
        </w:rPr>
        <w:t xml:space="preserve"> </w:t>
      </w:r>
      <w:r>
        <w:t>procedure,</w:t>
      </w:r>
      <w:r>
        <w:rPr>
          <w:spacing w:val="-3"/>
        </w:rPr>
        <w:t xml:space="preserve"> </w:t>
      </w:r>
      <w:r>
        <w:t>support</w:t>
      </w:r>
      <w:r>
        <w:rPr>
          <w:spacing w:val="-5"/>
        </w:rPr>
        <w:t xml:space="preserve"> </w:t>
      </w:r>
      <w:r>
        <w:t>the</w:t>
      </w:r>
      <w:r>
        <w:rPr>
          <w:spacing w:val="-5"/>
        </w:rPr>
        <w:t xml:space="preserve"> </w:t>
      </w:r>
      <w:r>
        <w:t>continuous</w:t>
      </w:r>
      <w:r>
        <w:rPr>
          <w:spacing w:val="-5"/>
        </w:rPr>
        <w:t xml:space="preserve"> </w:t>
      </w:r>
      <w:r>
        <w:t>management</w:t>
      </w:r>
      <w:r>
        <w:rPr>
          <w:spacing w:val="-7"/>
        </w:rPr>
        <w:t xml:space="preserve"> </w:t>
      </w:r>
      <w:r>
        <w:t>of</w:t>
      </w:r>
      <w:r>
        <w:rPr>
          <w:spacing w:val="-3"/>
        </w:rPr>
        <w:t xml:space="preserve"> </w:t>
      </w:r>
      <w:r>
        <w:t>records by outlining how employees can decide if records must be retained and for how long, how to securely retain records, and how to properly dispose of records.</w:t>
      </w:r>
    </w:p>
    <w:p w14:paraId="0DFE9F9F" w14:textId="77777777" w:rsidR="00BA074C" w:rsidRDefault="00BA074C">
      <w:pPr>
        <w:pStyle w:val="BodyText"/>
        <w:spacing w:before="8"/>
        <w:ind w:left="0"/>
      </w:pPr>
    </w:p>
    <w:p w14:paraId="7C3E45AA" w14:textId="77777777" w:rsidR="00BA074C" w:rsidRDefault="009A5089">
      <w:pPr>
        <w:pStyle w:val="Heading1"/>
        <w:spacing w:before="1"/>
      </w:pPr>
      <w:bookmarkStart w:id="5" w:name="Procedures:"/>
      <w:bookmarkEnd w:id="5"/>
      <w:r>
        <w:rPr>
          <w:color w:val="3A1498"/>
          <w:spacing w:val="-2"/>
        </w:rPr>
        <w:t>Procedures:</w:t>
      </w:r>
    </w:p>
    <w:p w14:paraId="7C037FB8" w14:textId="77777777" w:rsidR="00BA074C" w:rsidRDefault="009A5089">
      <w:pPr>
        <w:pStyle w:val="BodyText"/>
        <w:spacing w:before="23" w:line="256" w:lineRule="auto"/>
        <w:ind w:right="5864"/>
      </w:pPr>
      <w:hyperlink r:id="rId23" w:anchor="ApprovedPracticeDirectivesProcedures%23records-management">
        <w:r>
          <w:rPr>
            <w:color w:val="0563C1"/>
            <w:u w:val="single" w:color="0563C1"/>
          </w:rPr>
          <w:t>Records</w:t>
        </w:r>
        <w:r>
          <w:rPr>
            <w:color w:val="0563C1"/>
            <w:spacing w:val="-13"/>
            <w:u w:val="single" w:color="0563C1"/>
          </w:rPr>
          <w:t xml:space="preserve"> </w:t>
        </w:r>
        <w:r>
          <w:rPr>
            <w:color w:val="0563C1"/>
            <w:u w:val="single" w:color="0563C1"/>
          </w:rPr>
          <w:t>Management</w:t>
        </w:r>
        <w:r>
          <w:rPr>
            <w:color w:val="0563C1"/>
            <w:spacing w:val="-12"/>
            <w:u w:val="single" w:color="0563C1"/>
          </w:rPr>
          <w:t xml:space="preserve"> </w:t>
        </w:r>
        <w:r>
          <w:rPr>
            <w:color w:val="0563C1"/>
            <w:u w:val="single" w:color="0563C1"/>
          </w:rPr>
          <w:t>Procedure</w:t>
        </w:r>
      </w:hyperlink>
      <w:r>
        <w:rPr>
          <w:color w:val="0563C1"/>
        </w:rPr>
        <w:t xml:space="preserve"> </w:t>
      </w:r>
      <w:hyperlink r:id="rId24" w:anchor="procedures-and-forms" w:history="1">
        <w:r w:rsidRPr="00AA5831">
          <w:rPr>
            <w:rStyle w:val="Hyperlink"/>
            <w:color w:val="0070C0"/>
          </w:rPr>
          <w:t>Records Management Tool</w:t>
        </w:r>
      </w:hyperlink>
    </w:p>
    <w:p w14:paraId="2D47A484" w14:textId="77777777" w:rsidR="00BA074C" w:rsidRDefault="009A5089">
      <w:pPr>
        <w:pStyle w:val="BodyText"/>
        <w:spacing w:before="3"/>
      </w:pPr>
      <w:hyperlink r:id="rId25">
        <w:r>
          <w:rPr>
            <w:color w:val="0563C1"/>
            <w:u w:val="single" w:color="0563C1"/>
          </w:rPr>
          <w:t>UW</w:t>
        </w:r>
        <w:r>
          <w:rPr>
            <w:color w:val="0563C1"/>
            <w:spacing w:val="-2"/>
            <w:u w:val="single" w:color="0563C1"/>
          </w:rPr>
          <w:t xml:space="preserve"> </w:t>
        </w:r>
        <w:r>
          <w:rPr>
            <w:color w:val="0563C1"/>
            <w:u w:val="single" w:color="0563C1"/>
          </w:rPr>
          <w:t>System</w:t>
        </w:r>
        <w:r>
          <w:rPr>
            <w:color w:val="0563C1"/>
            <w:spacing w:val="-3"/>
            <w:u w:val="single" w:color="0563C1"/>
          </w:rPr>
          <w:t xml:space="preserve"> </w:t>
        </w:r>
        <w:r>
          <w:rPr>
            <w:color w:val="0563C1"/>
            <w:u w:val="single" w:color="0563C1"/>
          </w:rPr>
          <w:t>Data</w:t>
        </w:r>
        <w:r>
          <w:rPr>
            <w:color w:val="0563C1"/>
            <w:spacing w:val="-5"/>
            <w:u w:val="single" w:color="0563C1"/>
          </w:rPr>
          <w:t xml:space="preserve"> </w:t>
        </w:r>
        <w:r>
          <w:rPr>
            <w:color w:val="0563C1"/>
            <w:u w:val="single" w:color="0563C1"/>
          </w:rPr>
          <w:t>Risk</w:t>
        </w:r>
        <w:r>
          <w:rPr>
            <w:color w:val="0563C1"/>
            <w:spacing w:val="-4"/>
            <w:u w:val="single" w:color="0563C1"/>
          </w:rPr>
          <w:t xml:space="preserve"> </w:t>
        </w:r>
        <w:r>
          <w:rPr>
            <w:color w:val="0563C1"/>
            <w:spacing w:val="-2"/>
            <w:u w:val="single" w:color="0563C1"/>
          </w:rPr>
          <w:t>Classifications</w:t>
        </w:r>
      </w:hyperlink>
    </w:p>
    <w:bookmarkStart w:id="6" w:name="Searchable_Words:"/>
    <w:bookmarkEnd w:id="6"/>
    <w:p w14:paraId="307F1A5F" w14:textId="77777777" w:rsidR="00AA5831" w:rsidRPr="00AA5831" w:rsidRDefault="00AA5831" w:rsidP="00AA5831">
      <w:pPr>
        <w:ind w:left="120" w:right="5419"/>
      </w:pPr>
      <w:r w:rsidRPr="00AA5831">
        <w:fldChar w:fldCharType="begin"/>
      </w:r>
      <w:r w:rsidRPr="00AA5831">
        <w:instrText xml:space="preserve"> HYPERLINK "https://www.wisconsin.edu/compliance/focus-areas/general-schedules-and-records-management-services/general-records-schedule" \h </w:instrText>
      </w:r>
      <w:r w:rsidRPr="00AA5831">
        <w:fldChar w:fldCharType="separate"/>
      </w:r>
      <w:r w:rsidRPr="00AA5831">
        <w:rPr>
          <w:color w:val="0563C1"/>
          <w:u w:val="single" w:color="0563C1"/>
        </w:rPr>
        <w:t>UW System General Records Schedules</w:t>
      </w:r>
      <w:r w:rsidRPr="00AA5831">
        <w:rPr>
          <w:color w:val="0563C1"/>
          <w:u w:val="single" w:color="0563C1"/>
        </w:rPr>
        <w:fldChar w:fldCharType="end"/>
      </w:r>
    </w:p>
    <w:p w14:paraId="17236DC1" w14:textId="77777777" w:rsidR="00BA074C" w:rsidRDefault="009A5089">
      <w:pPr>
        <w:pStyle w:val="Heading1"/>
        <w:spacing w:before="268"/>
      </w:pPr>
      <w:r>
        <w:rPr>
          <w:color w:val="3A1498"/>
        </w:rPr>
        <w:t>Searchable</w:t>
      </w:r>
      <w:r>
        <w:rPr>
          <w:color w:val="3A1498"/>
          <w:spacing w:val="-13"/>
        </w:rPr>
        <w:t xml:space="preserve"> </w:t>
      </w:r>
      <w:r>
        <w:rPr>
          <w:color w:val="3A1498"/>
          <w:spacing w:val="-2"/>
        </w:rPr>
        <w:t>Words:</w:t>
      </w:r>
    </w:p>
    <w:p w14:paraId="45364447" w14:textId="77777777" w:rsidR="00BA074C" w:rsidRDefault="009A5089">
      <w:pPr>
        <w:pStyle w:val="BodyText"/>
        <w:spacing w:before="1" w:line="254" w:lineRule="auto"/>
        <w:ind w:hanging="1"/>
      </w:pPr>
      <w:r>
        <w:t>Record,</w:t>
      </w:r>
      <w:r>
        <w:rPr>
          <w:spacing w:val="40"/>
        </w:rPr>
        <w:t xml:space="preserve"> </w:t>
      </w:r>
      <w:r>
        <w:t>Records,</w:t>
      </w:r>
      <w:r>
        <w:rPr>
          <w:spacing w:val="40"/>
        </w:rPr>
        <w:t xml:space="preserve"> </w:t>
      </w:r>
      <w:r>
        <w:t>Record</w:t>
      </w:r>
      <w:r>
        <w:rPr>
          <w:spacing w:val="40"/>
        </w:rPr>
        <w:t xml:space="preserve"> </w:t>
      </w:r>
      <w:r>
        <w:t>Management,</w:t>
      </w:r>
      <w:r>
        <w:rPr>
          <w:spacing w:val="40"/>
        </w:rPr>
        <w:t xml:space="preserve"> </w:t>
      </w:r>
      <w:r>
        <w:t>Records</w:t>
      </w:r>
      <w:r>
        <w:rPr>
          <w:spacing w:val="40"/>
        </w:rPr>
        <w:t xml:space="preserve"> </w:t>
      </w:r>
      <w:r>
        <w:t>Management,</w:t>
      </w:r>
      <w:r>
        <w:rPr>
          <w:spacing w:val="40"/>
        </w:rPr>
        <w:t xml:space="preserve"> </w:t>
      </w:r>
      <w:r>
        <w:t>Retain,</w:t>
      </w:r>
      <w:r>
        <w:rPr>
          <w:spacing w:val="40"/>
        </w:rPr>
        <w:t xml:space="preserve"> </w:t>
      </w:r>
      <w:r>
        <w:t>Retention,</w:t>
      </w:r>
      <w:r>
        <w:rPr>
          <w:spacing w:val="40"/>
        </w:rPr>
        <w:t xml:space="preserve"> </w:t>
      </w:r>
      <w:r>
        <w:t>Record</w:t>
      </w:r>
      <w:r>
        <w:rPr>
          <w:spacing w:val="40"/>
        </w:rPr>
        <w:t xml:space="preserve"> </w:t>
      </w:r>
      <w:r>
        <w:t>Retention, Records Retention, General Records Schedule, GRS.</w:t>
      </w:r>
    </w:p>
    <w:sectPr w:rsidR="00BA074C">
      <w:pgSz w:w="12240" w:h="15840"/>
      <w:pgMar w:top="1120" w:right="1320" w:bottom="1180" w:left="1320"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14427" w14:textId="77777777" w:rsidR="009F043C" w:rsidRDefault="009A5089">
      <w:r>
        <w:separator/>
      </w:r>
    </w:p>
  </w:endnote>
  <w:endnote w:type="continuationSeparator" w:id="0">
    <w:p w14:paraId="1A1400B9" w14:textId="77777777" w:rsidR="009F043C" w:rsidRDefault="009A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A8570" w14:textId="77777777" w:rsidR="00BA074C" w:rsidRDefault="009A5089">
    <w:pPr>
      <w:pStyle w:val="BodyText"/>
      <w:spacing w:line="14" w:lineRule="auto"/>
      <w:ind w:left="0"/>
      <w:rPr>
        <w:sz w:val="20"/>
      </w:rPr>
    </w:pPr>
    <w:r>
      <w:rPr>
        <w:noProof/>
      </w:rPr>
      <mc:AlternateContent>
        <mc:Choice Requires="wps">
          <w:drawing>
            <wp:anchor distT="0" distB="0" distL="0" distR="0" simplePos="0" relativeHeight="487533568" behindDoc="1" locked="0" layoutInCell="1" allowOverlap="1" wp14:anchorId="16BF39BD" wp14:editId="4116BFB5">
              <wp:simplePos x="0" y="0"/>
              <wp:positionH relativeFrom="page">
                <wp:posOffset>6749795</wp:posOffset>
              </wp:positionH>
              <wp:positionV relativeFrom="page">
                <wp:posOffset>9285223</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0C55780" w14:textId="77777777" w:rsidR="00BA074C" w:rsidRDefault="009A5089">
                          <w:pPr>
                            <w:pStyle w:val="BodyTex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16BF39BD" id="_x0000_t202" coordsize="21600,21600" o:spt="202" path="m,l,21600r21600,l21600,xe">
              <v:stroke joinstyle="miter"/>
              <v:path gradientshapeok="t" o:connecttype="rect"/>
            </v:shapetype>
            <v:shape id="Textbox 1" o:spid="_x0000_s1026" type="#_x0000_t202" style="position:absolute;margin-left:531.5pt;margin-top:731.1pt;width:12.6pt;height:13.05pt;z-index:-1578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" filled="f" stroked="f">
              <v:textbox inset="0,0,0,0">
                <w:txbxContent>
                  <w:p w14:paraId="20C55780" w14:textId="77777777" w:rsidR="00BA074C" w:rsidRDefault="009A5089">
                    <w:pPr>
                      <w:pStyle w:val="BodyTex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0808B" w14:textId="77777777" w:rsidR="009F043C" w:rsidRDefault="009A5089">
      <w:r>
        <w:separator/>
      </w:r>
    </w:p>
  </w:footnote>
  <w:footnote w:type="continuationSeparator" w:id="0">
    <w:p w14:paraId="37315717" w14:textId="77777777" w:rsidR="009F043C" w:rsidRDefault="009A50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74C"/>
    <w:rsid w:val="003C385B"/>
    <w:rsid w:val="004625A3"/>
    <w:rsid w:val="008D64EF"/>
    <w:rsid w:val="009A5089"/>
    <w:rsid w:val="009F043C"/>
    <w:rsid w:val="00AA5831"/>
    <w:rsid w:val="00BA0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CD9B4"/>
  <w15:docId w15:val="{C623A46D-54C6-43EC-A6B4-A913F4EE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style>
  <w:style w:type="paragraph" w:styleId="Title">
    <w:name w:val="Title"/>
    <w:basedOn w:val="Normal"/>
    <w:uiPriority w:val="10"/>
    <w:qFormat/>
    <w:pPr>
      <w:spacing w:before="315"/>
      <w:ind w:left="120"/>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49" w:lineRule="exact"/>
      <w:ind w:left="827"/>
    </w:pPr>
  </w:style>
  <w:style w:type="character" w:styleId="Hyperlink">
    <w:name w:val="Hyperlink"/>
    <w:basedOn w:val="DefaultParagraphFont"/>
    <w:uiPriority w:val="99"/>
    <w:unhideWhenUsed/>
    <w:rsid w:val="00AA5831"/>
    <w:rPr>
      <w:color w:val="0000FF" w:themeColor="hyperlink"/>
      <w:u w:val="single"/>
    </w:rPr>
  </w:style>
  <w:style w:type="character" w:styleId="UnresolvedMention">
    <w:name w:val="Unresolved Mention"/>
    <w:basedOn w:val="DefaultParagraphFont"/>
    <w:uiPriority w:val="99"/>
    <w:semiHidden/>
    <w:unhideWhenUsed/>
    <w:rsid w:val="00AA5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cs.legis.wisconsin.gov/statutes/statutes/16/III/61" TargetMode="External"/><Relationship Id="rId13" Type="http://schemas.openxmlformats.org/officeDocument/2006/relationships/hyperlink" Target="https://docs.legis.wisconsin.gov/code/admin_code/adm/12.pdf" TargetMode="External"/><Relationship Id="rId18" Type="http://schemas.openxmlformats.org/officeDocument/2006/relationships/hyperlink" Target="https://www.wisconsin.edu/uw-policies/uw-system-administrative-policies/information-security-data-classification-and-protection/"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uww.service-now.com/kb?sys_kb_id=ba7d5d8f473ece10254ef3fe536d438c&amp;id=kb_article_view&amp;sysparm_rank=1&amp;sysparm_tsqueryId=6d52e4113352de507e9545659d5c7ba7" TargetMode="External"/><Relationship Id="rId7" Type="http://schemas.openxmlformats.org/officeDocument/2006/relationships/hyperlink" Target="mailto:archives@uww.edu" TargetMode="External"/><Relationship Id="rId12" Type="http://schemas.openxmlformats.org/officeDocument/2006/relationships/hyperlink" Target="https://docs.legis.wisconsin.gov/code/admin_code/adm/12.pdf" TargetMode="External"/><Relationship Id="rId17" Type="http://schemas.openxmlformats.org/officeDocument/2006/relationships/hyperlink" Target="https://www.wisconsin.edu/regents/policies/information-technology-information-security/" TargetMode="External"/><Relationship Id="rId25" Type="http://schemas.openxmlformats.org/officeDocument/2006/relationships/hyperlink" Target="https://www.wisconsin.edu/uw-policies/uw-system-administrative-policies/information-security-data-classification-and-protection/" TargetMode="External"/><Relationship Id="rId2" Type="http://schemas.openxmlformats.org/officeDocument/2006/relationships/settings" Target="settings.xml"/><Relationship Id="rId16" Type="http://schemas.openxmlformats.org/officeDocument/2006/relationships/hyperlink" Target="https://www.wisconsin.edu/regents/policies/public-records-management/" TargetMode="External"/><Relationship Id="rId20" Type="http://schemas.openxmlformats.org/officeDocument/2006/relationships/hyperlink" Target="https://uww.service-now.com/kb?sys_kb_id=09fe10581b7cd910eecabaecdc4bcbe7&amp;id=kb_article_view&amp;sysparm_rank=1&amp;sysparm_tsqueryId=2022ecdd3312de507e9545659d5c7b54"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publicrecordsboard.wi.gov/Documents/GRS%20Policy%20-%20FINAL%2011-2017.pdf" TargetMode="External"/><Relationship Id="rId24" Type="http://schemas.openxmlformats.org/officeDocument/2006/relationships/hyperlink" Target="https://www.uww.edu/library/archives/records-management" TargetMode="External"/><Relationship Id="rId5" Type="http://schemas.openxmlformats.org/officeDocument/2006/relationships/endnotes" Target="endnotes.xml"/><Relationship Id="rId15" Type="http://schemas.openxmlformats.org/officeDocument/2006/relationships/hyperlink" Target="https://www.wisconsin.edu/general-counsel/general-schedules-and-records-management-services/" TargetMode="External"/><Relationship Id="rId23" Type="http://schemas.openxmlformats.org/officeDocument/2006/relationships/hyperlink" Target="https://www.uww.edu/adminaffairs/compliance/practice-directives-and-procedures" TargetMode="External"/><Relationship Id="rId10" Type="http://schemas.openxmlformats.org/officeDocument/2006/relationships/hyperlink" Target="http://publicrecordsboard.wi.gov/docview.asp?docid=15862&amp;locid=165" TargetMode="External"/><Relationship Id="rId19" Type="http://schemas.openxmlformats.org/officeDocument/2006/relationships/hyperlink" Target="https://www.wisconsin.edu/uw-policies/uw-system-administrative-policies/information-security-data-classification-and-protection/" TargetMode="External"/><Relationship Id="rId4" Type="http://schemas.openxmlformats.org/officeDocument/2006/relationships/footnotes" Target="footnotes.xml"/><Relationship Id="rId9" Type="http://schemas.openxmlformats.org/officeDocument/2006/relationships/hyperlink" Target="https://docs.legis.wisconsin.gov/statutes/statutes/19/II/21" TargetMode="External"/><Relationship Id="rId14" Type="http://schemas.openxmlformats.org/officeDocument/2006/relationships/hyperlink" Target="https://www.wisconsin.edu/compliance/landing-page/general-records-schedule/"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Records Management Practice Directive</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Records Management Practice Directive</dc:title>
  <dc:creator>Andrew Joseph Heitman</dc:creator>
  <dc:description/>
  <cp:lastModifiedBy>Jennifer Motszko</cp:lastModifiedBy>
  <cp:revision>2</cp:revision>
  <dcterms:created xsi:type="dcterms:W3CDTF">2024-12-10T20:57:00Z</dcterms:created>
  <dcterms:modified xsi:type="dcterms:W3CDTF">2024-12-10T20:57:00Z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2019-09-19T00:00:00Z</vt:filetime>
  </property>
  <property fmtid="{D5CDD505-2E9C-101B-9397-08002B2CF9AE}" pid="3" name="Creator">
    <vt:lpwstr>Acrobat PDFMaker 11 for Word</vt:lpwstr>
  </property>
  <property fmtid="{D5CDD505-2E9C-101B-9397-08002B2CF9AE}" pid="4" name="LastSaved">
    <vt:filetime>2024-11-19T00:00:00Z</vt:filetime>
  </property>
  <property fmtid="{D5CDD505-2E9C-101B-9397-08002B2CF9AE}" pid="5" name="Producer">
    <vt:lpwstr>Adobe PDF Library 11.0</vt:lpwstr>
  </property>
  <property fmtid="{D5CDD505-2E9C-101B-9397-08002B2CF9AE}" pid="6" name="SourceModified">
    <vt:lpwstr>D:20190917150636</vt:lpwstr>
  </property>
</Properties>
</file>