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64" w:rsidRPr="007268AB" w:rsidRDefault="00816D64" w:rsidP="007268AB">
      <w:pPr>
        <w:pStyle w:val="NoSpacing"/>
        <w:jc w:val="center"/>
        <w:rPr>
          <w:b/>
          <w:sz w:val="32"/>
          <w:szCs w:val="32"/>
          <w:bdr w:val="none" w:sz="0" w:space="0" w:color="auto" w:frame="1"/>
          <w:shd w:val="clear" w:color="auto" w:fill="FFFFFF"/>
        </w:rPr>
      </w:pPr>
      <w:r w:rsidRPr="007268AB">
        <w:rPr>
          <w:b/>
          <w:sz w:val="32"/>
          <w:szCs w:val="32"/>
          <w:bdr w:val="none" w:sz="0" w:space="0" w:color="auto" w:frame="1"/>
          <w:shd w:val="clear" w:color="auto" w:fill="FFFFFF"/>
        </w:rPr>
        <w:t>Resilience: The Path to Hope and Healing</w:t>
      </w:r>
    </w:p>
    <w:p w:rsidR="00FF47FF" w:rsidRPr="00816D64" w:rsidRDefault="00FF47FF" w:rsidP="00816D64">
      <w:pPr>
        <w:pStyle w:val="NoSpacing"/>
        <w:rPr>
          <w:sz w:val="24"/>
          <w:szCs w:val="24"/>
        </w:rPr>
      </w:pPr>
    </w:p>
    <w:p w:rsidR="00BF7C85" w:rsidRPr="00816D64" w:rsidRDefault="007268AB" w:rsidP="00816D64">
      <w:pPr>
        <w:pStyle w:val="NoSpacing"/>
        <w:rPr>
          <w:color w:val="343434"/>
          <w:sz w:val="24"/>
          <w:szCs w:val="24"/>
          <w:shd w:val="clear" w:color="auto" w:fill="FFFFFF"/>
        </w:rPr>
      </w:pPr>
      <w:r w:rsidRPr="007268AB">
        <w:rPr>
          <w:noProof/>
          <w:sz w:val="24"/>
          <w:szCs w:val="24"/>
        </w:rPr>
        <mc:AlternateContent>
          <mc:Choice Requires="wps">
            <w:drawing>
              <wp:anchor distT="0" distB="0" distL="114300" distR="114300" simplePos="0" relativeHeight="251659264" behindDoc="0" locked="0" layoutInCell="1" allowOverlap="1" wp14:anchorId="4ED03086" wp14:editId="23E25CF2">
                <wp:simplePos x="0" y="0"/>
                <wp:positionH relativeFrom="column">
                  <wp:posOffset>-91440</wp:posOffset>
                </wp:positionH>
                <wp:positionV relativeFrom="paragraph">
                  <wp:posOffset>568325</wp:posOffset>
                </wp:positionV>
                <wp:extent cx="3870960" cy="1470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70660"/>
                        </a:xfrm>
                        <a:prstGeom prst="rect">
                          <a:avLst/>
                        </a:prstGeom>
                        <a:solidFill>
                          <a:srgbClr val="FFFFFF"/>
                        </a:solidFill>
                        <a:ln w="12700">
                          <a:noFill/>
                          <a:miter lim="800000"/>
                          <a:headEnd/>
                          <a:tailEnd/>
                        </a:ln>
                      </wps:spPr>
                      <wps:txbx>
                        <w:txbxContent>
                          <w:p w:rsidR="007268AB" w:rsidRPr="007268AB" w:rsidRDefault="007268AB" w:rsidP="007268AB">
                            <w:pPr>
                              <w:pStyle w:val="NoSpacing"/>
                              <w:rPr>
                                <w:rFonts w:cstheme="minorHAnsi"/>
                                <w:sz w:val="28"/>
                                <w:szCs w:val="28"/>
                                <w:bdr w:val="none" w:sz="0" w:space="0" w:color="auto" w:frame="1"/>
                                <w:shd w:val="clear" w:color="auto" w:fill="FFFFFF"/>
                              </w:rPr>
                            </w:pPr>
                            <w:r w:rsidRPr="007268AB">
                              <w:rPr>
                                <w:rFonts w:cstheme="minorHAnsi"/>
                                <w:b/>
                                <w:sz w:val="28"/>
                                <w:szCs w:val="28"/>
                                <w:bdr w:val="none" w:sz="0" w:space="0" w:color="auto" w:frame="1"/>
                                <w:shd w:val="clear" w:color="auto" w:fill="FFFFFF"/>
                              </w:rPr>
                              <w:t>Resilience</w:t>
                            </w:r>
                            <w:r w:rsidRPr="007268AB">
                              <w:rPr>
                                <w:rStyle w:val="apple-converted-space"/>
                                <w:rFonts w:cstheme="minorHAnsi"/>
                                <w:b/>
                                <w:color w:val="086590"/>
                                <w:sz w:val="28"/>
                                <w:szCs w:val="28"/>
                                <w:shd w:val="clear" w:color="auto" w:fill="FFFFFF"/>
                              </w:rPr>
                              <w:t> </w:t>
                            </w:r>
                            <w:r w:rsidRPr="007268AB">
                              <w:rPr>
                                <w:rFonts w:cstheme="minorHAnsi"/>
                                <w:sz w:val="28"/>
                                <w:szCs w:val="28"/>
                                <w:shd w:val="clear" w:color="auto" w:fill="FFFFFF"/>
                              </w:rPr>
                              <w:t xml:space="preserve">is the ability to overcome challenges of all kinds and </w:t>
                            </w:r>
                            <w:r w:rsidR="00196658">
                              <w:rPr>
                                <w:rFonts w:cstheme="minorHAnsi"/>
                                <w:sz w:val="28"/>
                                <w:szCs w:val="28"/>
                                <w:shd w:val="clear" w:color="auto" w:fill="FFFFFF"/>
                              </w:rPr>
                              <w:t xml:space="preserve">to </w:t>
                            </w:r>
                            <w:r w:rsidRPr="007268AB">
                              <w:rPr>
                                <w:rFonts w:cstheme="minorHAnsi"/>
                                <w:sz w:val="28"/>
                                <w:szCs w:val="28"/>
                                <w:shd w:val="clear" w:color="auto" w:fill="FFFFFF"/>
                              </w:rPr>
                              <w:t>bounce back stronger, wiser</w:t>
                            </w:r>
                            <w:r w:rsidR="00196658">
                              <w:rPr>
                                <w:rFonts w:cstheme="minorHAnsi"/>
                                <w:sz w:val="28"/>
                                <w:szCs w:val="28"/>
                                <w:shd w:val="clear" w:color="auto" w:fill="FFFFFF"/>
                              </w:rPr>
                              <w:t>,</w:t>
                            </w:r>
                            <w:r w:rsidRPr="007268AB">
                              <w:rPr>
                                <w:rFonts w:cstheme="minorHAnsi"/>
                                <w:sz w:val="28"/>
                                <w:szCs w:val="28"/>
                                <w:shd w:val="clear" w:color="auto" w:fill="FFFFFF"/>
                              </w:rPr>
                              <w:t xml:space="preserve"> and more personally powerful.</w:t>
                            </w:r>
                            <w:r w:rsidRPr="007268AB">
                              <w:rPr>
                                <w:rFonts w:cstheme="minorHAnsi"/>
                                <w:sz w:val="28"/>
                                <w:szCs w:val="28"/>
                                <w:bdr w:val="none" w:sz="0" w:space="0" w:color="auto" w:frame="1"/>
                                <w:shd w:val="clear" w:color="auto" w:fill="FFFFFF"/>
                              </w:rPr>
                              <w:t xml:space="preserve"> </w:t>
                            </w:r>
                          </w:p>
                          <w:p w:rsidR="007268AB" w:rsidRPr="007268AB" w:rsidRDefault="007268AB" w:rsidP="007268AB">
                            <w:pPr>
                              <w:pStyle w:val="NoSpacing"/>
                              <w:rPr>
                                <w:rFonts w:cstheme="minorHAnsi"/>
                                <w:sz w:val="24"/>
                                <w:szCs w:val="24"/>
                                <w:bdr w:val="none" w:sz="0" w:space="0" w:color="auto" w:frame="1"/>
                                <w:shd w:val="clear" w:color="auto" w:fill="FFFFFF"/>
                              </w:rPr>
                            </w:pPr>
                          </w:p>
                          <w:p w:rsidR="007268AB" w:rsidRPr="009815B8" w:rsidRDefault="007268AB" w:rsidP="007268AB">
                            <w:pPr>
                              <w:pStyle w:val="NoSpacing"/>
                              <w:rPr>
                                <w:rFonts w:cstheme="minorHAnsi"/>
                                <w:sz w:val="18"/>
                                <w:szCs w:val="18"/>
                                <w:bdr w:val="none" w:sz="0" w:space="0" w:color="auto" w:frame="1"/>
                                <w:shd w:val="clear" w:color="auto" w:fill="FFFFFF"/>
                              </w:rPr>
                            </w:pPr>
                            <w:r w:rsidRPr="009815B8">
                              <w:rPr>
                                <w:rFonts w:cstheme="minorHAnsi"/>
                                <w:sz w:val="18"/>
                                <w:szCs w:val="18"/>
                                <w:bdr w:val="none" w:sz="0" w:space="0" w:color="auto" w:frame="1"/>
                                <w:shd w:val="clear" w:color="auto" w:fill="FFFFFF"/>
                              </w:rPr>
                              <w:t xml:space="preserve">Source: Henderson, N. &amp; Milstein, M. (2003). </w:t>
                            </w:r>
                            <w:r w:rsidRPr="009815B8">
                              <w:rPr>
                                <w:rFonts w:cstheme="minorHAnsi"/>
                                <w:i/>
                                <w:sz w:val="18"/>
                                <w:szCs w:val="18"/>
                                <w:bdr w:val="none" w:sz="0" w:space="0" w:color="auto" w:frame="1"/>
                                <w:shd w:val="clear" w:color="auto" w:fill="FFFFFF"/>
                              </w:rPr>
                              <w:t>Resilience in Schools: Making it Happen for Students and Educators</w:t>
                            </w:r>
                            <w:r w:rsidRPr="009815B8">
                              <w:rPr>
                                <w:rFonts w:cstheme="minorHAnsi"/>
                                <w:sz w:val="18"/>
                                <w:szCs w:val="18"/>
                                <w:bdr w:val="none" w:sz="0" w:space="0" w:color="auto" w:frame="1"/>
                                <w:shd w:val="clear" w:color="auto" w:fill="FFFFFF"/>
                              </w:rPr>
                              <w:t>. Thousand Oaks, CA: Corwin Press.</w:t>
                            </w:r>
                          </w:p>
                          <w:p w:rsidR="007268AB" w:rsidRPr="00816D64" w:rsidRDefault="007268AB" w:rsidP="007268AB">
                            <w:pPr>
                              <w:pStyle w:val="NoSpacing"/>
                              <w:rPr>
                                <w:color w:val="000000"/>
                                <w:sz w:val="24"/>
                                <w:szCs w:val="24"/>
                              </w:rPr>
                            </w:pPr>
                          </w:p>
                          <w:p w:rsidR="007268AB" w:rsidRDefault="00726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03086" id="_x0000_t202" coordsize="21600,21600" o:spt="202" path="m,l,21600r21600,l21600,xe">
                <v:stroke joinstyle="miter"/>
                <v:path gradientshapeok="t" o:connecttype="rect"/>
              </v:shapetype>
              <v:shape id="Text Box 2" o:spid="_x0000_s1026" type="#_x0000_t202" style="position:absolute;margin-left:-7.2pt;margin-top:44.75pt;width:304.8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" stroked="f" strokeweight="1pt">
                <v:textbox>
                  <w:txbxContent>
                    <w:p w:rsidR="007268AB" w:rsidRPr="007268AB" w:rsidRDefault="007268AB" w:rsidP="007268AB">
                      <w:pPr>
                        <w:pStyle w:val="NoSpacing"/>
                        <w:rPr>
                          <w:rFonts w:cstheme="minorHAnsi"/>
                          <w:sz w:val="28"/>
                          <w:szCs w:val="28"/>
                          <w:bdr w:val="none" w:sz="0" w:space="0" w:color="auto" w:frame="1"/>
                          <w:shd w:val="clear" w:color="auto" w:fill="FFFFFF"/>
                        </w:rPr>
                      </w:pPr>
                      <w:r w:rsidRPr="007268AB">
                        <w:rPr>
                          <w:rFonts w:cstheme="minorHAnsi"/>
                          <w:b/>
                          <w:sz w:val="28"/>
                          <w:szCs w:val="28"/>
                          <w:bdr w:val="none" w:sz="0" w:space="0" w:color="auto" w:frame="1"/>
                          <w:shd w:val="clear" w:color="auto" w:fill="FFFFFF"/>
                        </w:rPr>
                        <w:t>Resilience</w:t>
                      </w:r>
                      <w:r w:rsidRPr="007268AB">
                        <w:rPr>
                          <w:rStyle w:val="apple-converted-space"/>
                          <w:rFonts w:cstheme="minorHAnsi"/>
                          <w:b/>
                          <w:color w:val="086590"/>
                          <w:sz w:val="28"/>
                          <w:szCs w:val="28"/>
                          <w:shd w:val="clear" w:color="auto" w:fill="FFFFFF"/>
                        </w:rPr>
                        <w:t> </w:t>
                      </w:r>
                      <w:r w:rsidRPr="007268AB">
                        <w:rPr>
                          <w:rFonts w:cstheme="minorHAnsi"/>
                          <w:sz w:val="28"/>
                          <w:szCs w:val="28"/>
                          <w:shd w:val="clear" w:color="auto" w:fill="FFFFFF"/>
                        </w:rPr>
                        <w:t xml:space="preserve">is the ability to overcome challenges of all kinds and </w:t>
                      </w:r>
                      <w:r w:rsidR="00196658">
                        <w:rPr>
                          <w:rFonts w:cstheme="minorHAnsi"/>
                          <w:sz w:val="28"/>
                          <w:szCs w:val="28"/>
                          <w:shd w:val="clear" w:color="auto" w:fill="FFFFFF"/>
                        </w:rPr>
                        <w:t xml:space="preserve">to </w:t>
                      </w:r>
                      <w:r w:rsidRPr="007268AB">
                        <w:rPr>
                          <w:rFonts w:cstheme="minorHAnsi"/>
                          <w:sz w:val="28"/>
                          <w:szCs w:val="28"/>
                          <w:shd w:val="clear" w:color="auto" w:fill="FFFFFF"/>
                        </w:rPr>
                        <w:t>bounce back stronger, wiser</w:t>
                      </w:r>
                      <w:r w:rsidR="00196658">
                        <w:rPr>
                          <w:rFonts w:cstheme="minorHAnsi"/>
                          <w:sz w:val="28"/>
                          <w:szCs w:val="28"/>
                          <w:shd w:val="clear" w:color="auto" w:fill="FFFFFF"/>
                        </w:rPr>
                        <w:t>,</w:t>
                      </w:r>
                      <w:r w:rsidRPr="007268AB">
                        <w:rPr>
                          <w:rFonts w:cstheme="minorHAnsi"/>
                          <w:sz w:val="28"/>
                          <w:szCs w:val="28"/>
                          <w:shd w:val="clear" w:color="auto" w:fill="FFFFFF"/>
                        </w:rPr>
                        <w:t xml:space="preserve"> and more personally powerful.</w:t>
                      </w:r>
                      <w:r w:rsidRPr="007268AB">
                        <w:rPr>
                          <w:rFonts w:cstheme="minorHAnsi"/>
                          <w:sz w:val="28"/>
                          <w:szCs w:val="28"/>
                          <w:bdr w:val="none" w:sz="0" w:space="0" w:color="auto" w:frame="1"/>
                          <w:shd w:val="clear" w:color="auto" w:fill="FFFFFF"/>
                        </w:rPr>
                        <w:t xml:space="preserve"> </w:t>
                      </w:r>
                    </w:p>
                    <w:p w:rsidR="007268AB" w:rsidRPr="007268AB" w:rsidRDefault="007268AB" w:rsidP="007268AB">
                      <w:pPr>
                        <w:pStyle w:val="NoSpacing"/>
                        <w:rPr>
                          <w:rFonts w:cstheme="minorHAnsi"/>
                          <w:sz w:val="24"/>
                          <w:szCs w:val="24"/>
                          <w:bdr w:val="none" w:sz="0" w:space="0" w:color="auto" w:frame="1"/>
                          <w:shd w:val="clear" w:color="auto" w:fill="FFFFFF"/>
                        </w:rPr>
                      </w:pPr>
                    </w:p>
                    <w:p w:rsidR="007268AB" w:rsidRPr="009815B8" w:rsidRDefault="007268AB" w:rsidP="007268AB">
                      <w:pPr>
                        <w:pStyle w:val="NoSpacing"/>
                        <w:rPr>
                          <w:rFonts w:cstheme="minorHAnsi"/>
                          <w:sz w:val="18"/>
                          <w:szCs w:val="18"/>
                          <w:bdr w:val="none" w:sz="0" w:space="0" w:color="auto" w:frame="1"/>
                          <w:shd w:val="clear" w:color="auto" w:fill="FFFFFF"/>
                        </w:rPr>
                      </w:pPr>
                      <w:r w:rsidRPr="009815B8">
                        <w:rPr>
                          <w:rFonts w:cstheme="minorHAnsi"/>
                          <w:sz w:val="18"/>
                          <w:szCs w:val="18"/>
                          <w:bdr w:val="none" w:sz="0" w:space="0" w:color="auto" w:frame="1"/>
                          <w:shd w:val="clear" w:color="auto" w:fill="FFFFFF"/>
                        </w:rPr>
                        <w:t xml:space="preserve">Source: Henderson, N. &amp; Milstein, M. (2003). </w:t>
                      </w:r>
                      <w:r w:rsidRPr="009815B8">
                        <w:rPr>
                          <w:rFonts w:cstheme="minorHAnsi"/>
                          <w:i/>
                          <w:sz w:val="18"/>
                          <w:szCs w:val="18"/>
                          <w:bdr w:val="none" w:sz="0" w:space="0" w:color="auto" w:frame="1"/>
                          <w:shd w:val="clear" w:color="auto" w:fill="FFFFFF"/>
                        </w:rPr>
                        <w:t>Resilience in Schools: Making it Happen for Students and Educators</w:t>
                      </w:r>
                      <w:r w:rsidRPr="009815B8">
                        <w:rPr>
                          <w:rFonts w:cstheme="minorHAnsi"/>
                          <w:sz w:val="18"/>
                          <w:szCs w:val="18"/>
                          <w:bdr w:val="none" w:sz="0" w:space="0" w:color="auto" w:frame="1"/>
                          <w:shd w:val="clear" w:color="auto" w:fill="FFFFFF"/>
                        </w:rPr>
                        <w:t>. Thousand Oaks, CA: Corwin Press.</w:t>
                      </w:r>
                    </w:p>
                    <w:p w:rsidR="007268AB" w:rsidRPr="00816D64" w:rsidRDefault="007268AB" w:rsidP="007268AB">
                      <w:pPr>
                        <w:pStyle w:val="NoSpacing"/>
                        <w:rPr>
                          <w:color w:val="000000"/>
                          <w:sz w:val="24"/>
                          <w:szCs w:val="24"/>
                        </w:rPr>
                      </w:pPr>
                    </w:p>
                    <w:p w:rsidR="007268AB" w:rsidRDefault="007268AB"/>
                  </w:txbxContent>
                </v:textbox>
              </v:shape>
            </w:pict>
          </mc:Fallback>
        </mc:AlternateContent>
      </w:r>
      <w:r>
        <w:rPr>
          <w:color w:val="343434"/>
          <w:sz w:val="24"/>
          <w:szCs w:val="24"/>
          <w:shd w:val="clear" w:color="auto" w:fill="FFFFFF"/>
        </w:rPr>
        <w:t xml:space="preserve">    </w:t>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sidR="00816D64">
        <w:rPr>
          <w:color w:val="343434"/>
          <w:sz w:val="24"/>
          <w:szCs w:val="24"/>
          <w:shd w:val="clear" w:color="auto" w:fill="FFFFFF"/>
        </w:rPr>
        <w:tab/>
      </w:r>
      <w:r>
        <w:rPr>
          <w:color w:val="343434"/>
          <w:sz w:val="24"/>
          <w:szCs w:val="24"/>
          <w:shd w:val="clear" w:color="auto" w:fill="FFFFFF"/>
        </w:rPr>
        <w:t xml:space="preserve">       </w:t>
      </w:r>
      <w:r w:rsidR="00BF7C85" w:rsidRPr="00816D64">
        <w:rPr>
          <w:noProof/>
          <w:sz w:val="24"/>
          <w:szCs w:val="24"/>
        </w:rPr>
        <w:drawing>
          <wp:inline distT="0" distB="0" distL="0" distR="0" wp14:anchorId="27EB71CB" wp14:editId="0E793D89">
            <wp:extent cx="2225040" cy="2301928"/>
            <wp:effectExtent l="0" t="0" r="3810" b="3175"/>
            <wp:docPr id="2" name="Picture 2" descr="Image result for resilienc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liency whe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523" cy="2395538"/>
                    </a:xfrm>
                    <a:prstGeom prst="rect">
                      <a:avLst/>
                    </a:prstGeom>
                    <a:noFill/>
                    <a:ln>
                      <a:noFill/>
                    </a:ln>
                  </pic:spPr>
                </pic:pic>
              </a:graphicData>
            </a:graphic>
          </wp:inline>
        </w:drawing>
      </w:r>
    </w:p>
    <w:p w:rsidR="00C55236" w:rsidRPr="0061306C" w:rsidRDefault="00C55236" w:rsidP="00816D64">
      <w:pPr>
        <w:pStyle w:val="NoSpacing"/>
        <w:rPr>
          <w:rFonts w:eastAsia="MS PMincho"/>
        </w:rPr>
      </w:pPr>
      <w:r w:rsidRPr="0061306C">
        <w:rPr>
          <w:rFonts w:eastAsia="MS PMincho"/>
          <w:b/>
          <w:color w:val="000000"/>
          <w:sz w:val="28"/>
          <w:szCs w:val="28"/>
        </w:rPr>
        <w:t xml:space="preserve">Caring </w:t>
      </w:r>
      <w:r w:rsidR="00DA48B2" w:rsidRPr="0061306C">
        <w:rPr>
          <w:rFonts w:eastAsia="MS PMincho"/>
          <w:b/>
          <w:color w:val="000000"/>
          <w:sz w:val="28"/>
          <w:szCs w:val="28"/>
        </w:rPr>
        <w:t>R</w:t>
      </w:r>
      <w:r w:rsidRPr="0061306C">
        <w:rPr>
          <w:rFonts w:eastAsia="MS PMincho"/>
          <w:b/>
          <w:color w:val="000000"/>
          <w:sz w:val="28"/>
          <w:szCs w:val="28"/>
        </w:rPr>
        <w:t>elationships</w:t>
      </w:r>
      <w:r w:rsidR="00DA48B2" w:rsidRPr="0061306C">
        <w:rPr>
          <w:rFonts w:eastAsia="MS PMincho"/>
          <w:b/>
          <w:color w:val="000000"/>
          <w:sz w:val="28"/>
          <w:szCs w:val="28"/>
        </w:rPr>
        <w:t>/Building Community</w:t>
      </w:r>
      <w:r w:rsidR="007268AB" w:rsidRPr="0061306C">
        <w:rPr>
          <w:rFonts w:eastAsia="MS PMincho"/>
          <w:b/>
          <w:color w:val="000000"/>
        </w:rPr>
        <w:t>.</w:t>
      </w:r>
      <w:r w:rsidR="004426F8" w:rsidRPr="0061306C">
        <w:rPr>
          <w:rFonts w:eastAsia="MS PMincho"/>
          <w:color w:val="000000"/>
        </w:rPr>
        <w:t xml:space="preserve"> </w:t>
      </w:r>
      <w:r w:rsidR="00E50AB0">
        <w:rPr>
          <w:rFonts w:eastAsia="MS PMincho"/>
          <w:color w:val="333333"/>
        </w:rPr>
        <w:t>C</w:t>
      </w:r>
      <w:r w:rsidRPr="0061306C">
        <w:rPr>
          <w:rFonts w:eastAsia="MS PMincho"/>
          <w:color w:val="333333"/>
        </w:rPr>
        <w:t>onvey</w:t>
      </w:r>
      <w:r w:rsidR="00E50AB0">
        <w:rPr>
          <w:rFonts w:eastAsia="MS PMincho"/>
          <w:color w:val="333333"/>
        </w:rPr>
        <w:t>ed through</w:t>
      </w:r>
      <w:r w:rsidRPr="0061306C">
        <w:rPr>
          <w:rFonts w:eastAsia="MS PMincho"/>
          <w:color w:val="333333"/>
        </w:rPr>
        <w:t xml:space="preserve"> compassion, unde</w:t>
      </w:r>
      <w:r w:rsidR="00E50AB0">
        <w:rPr>
          <w:rFonts w:eastAsia="MS PMincho"/>
          <w:color w:val="333333"/>
        </w:rPr>
        <w:t>rstanding, respect, and curiosity</w:t>
      </w:r>
      <w:r w:rsidRPr="0061306C">
        <w:rPr>
          <w:rFonts w:eastAsia="MS PMincho"/>
          <w:color w:val="333333"/>
        </w:rPr>
        <w:t xml:space="preserve">, </w:t>
      </w:r>
      <w:r w:rsidR="00E50AB0">
        <w:rPr>
          <w:rFonts w:eastAsia="MS PMincho"/>
          <w:color w:val="333333"/>
        </w:rPr>
        <w:t>caring relationships</w:t>
      </w:r>
      <w:r w:rsidR="006E0EFB">
        <w:rPr>
          <w:rFonts w:eastAsia="MS PMincho"/>
          <w:color w:val="333333"/>
        </w:rPr>
        <w:t xml:space="preserve"> are grounded in listening, </w:t>
      </w:r>
      <w:r w:rsidR="00E50AB0">
        <w:rPr>
          <w:rFonts w:eastAsia="MS PMincho"/>
          <w:color w:val="333333"/>
        </w:rPr>
        <w:t>safety</w:t>
      </w:r>
      <w:r w:rsidR="006E0EFB">
        <w:rPr>
          <w:rFonts w:eastAsia="MS PMincho"/>
          <w:color w:val="333333"/>
        </w:rPr>
        <w:t>,</w:t>
      </w:r>
      <w:r w:rsidR="00E50AB0">
        <w:rPr>
          <w:rFonts w:eastAsia="MS PMincho"/>
          <w:color w:val="333333"/>
        </w:rPr>
        <w:t xml:space="preserve"> and </w:t>
      </w:r>
      <w:r w:rsidRPr="0061306C">
        <w:rPr>
          <w:rFonts w:eastAsia="MS PMincho"/>
          <w:color w:val="333333"/>
        </w:rPr>
        <w:t>trust.</w:t>
      </w:r>
      <w:r w:rsidR="004426F8" w:rsidRPr="0061306C">
        <w:rPr>
          <w:rFonts w:eastAsia="MS PMincho"/>
          <w:color w:val="333333"/>
        </w:rPr>
        <w:t xml:space="preserve"> Positive peer rel</w:t>
      </w:r>
      <w:r w:rsidR="00E50AB0">
        <w:rPr>
          <w:rFonts w:eastAsia="MS PMincho"/>
          <w:color w:val="333333"/>
        </w:rPr>
        <w:t>ationships are based on similar values</w:t>
      </w:r>
      <w:r w:rsidR="004426F8" w:rsidRPr="0061306C">
        <w:rPr>
          <w:rFonts w:eastAsia="MS PMincho"/>
          <w:color w:val="333333"/>
        </w:rPr>
        <w:t>.</w:t>
      </w:r>
      <w:r w:rsidR="00F21F3A" w:rsidRPr="0061306C">
        <w:rPr>
          <w:rFonts w:eastAsia="MS PMincho"/>
          <w:color w:val="333333"/>
        </w:rPr>
        <w:t xml:space="preserve"> A sense of belonging to the larger community is intentionally cultivated. </w:t>
      </w:r>
      <w:r w:rsidR="005135A8" w:rsidRPr="0061306C">
        <w:rPr>
          <w:rFonts w:eastAsia="MS PMincho"/>
        </w:rPr>
        <w:t xml:space="preserve"> </w:t>
      </w:r>
    </w:p>
    <w:p w:rsidR="007268AB" w:rsidRPr="0061306C" w:rsidRDefault="007268AB" w:rsidP="00816D64">
      <w:pPr>
        <w:pStyle w:val="NoSpacing"/>
        <w:rPr>
          <w:rFonts w:eastAsia="MS PMincho"/>
          <w:b/>
        </w:rPr>
      </w:pPr>
    </w:p>
    <w:p w:rsidR="00BB6CE8" w:rsidRPr="0061306C" w:rsidRDefault="007268AB" w:rsidP="00816D64">
      <w:pPr>
        <w:pStyle w:val="NoSpacing"/>
        <w:rPr>
          <w:rFonts w:eastAsia="MS PMincho"/>
        </w:rPr>
      </w:pPr>
      <w:r w:rsidRPr="0061306C">
        <w:rPr>
          <w:rFonts w:eastAsia="MS PMincho"/>
          <w:b/>
          <w:sz w:val="28"/>
          <w:szCs w:val="28"/>
        </w:rPr>
        <w:t>Meaningful Participation</w:t>
      </w:r>
      <w:r w:rsidRPr="0061306C">
        <w:rPr>
          <w:rFonts w:eastAsia="MS PMincho"/>
          <w:b/>
        </w:rPr>
        <w:t>.</w:t>
      </w:r>
      <w:r w:rsidR="00BB6CE8" w:rsidRPr="0061306C">
        <w:rPr>
          <w:rFonts w:eastAsia="MS PMincho"/>
        </w:rPr>
        <w:t xml:space="preserve"> </w:t>
      </w:r>
      <w:r w:rsidR="00E50AB0">
        <w:rPr>
          <w:rFonts w:eastAsia="MS PMincho"/>
        </w:rPr>
        <w:t xml:space="preserve">Young people are involved in </w:t>
      </w:r>
      <w:r w:rsidR="00BB6CE8" w:rsidRPr="0061306C">
        <w:rPr>
          <w:rFonts w:eastAsia="MS PMincho"/>
        </w:rPr>
        <w:t>deci</w:t>
      </w:r>
      <w:r w:rsidR="00E50AB0">
        <w:rPr>
          <w:rFonts w:eastAsia="MS PMincho"/>
        </w:rPr>
        <w:t xml:space="preserve">sions </w:t>
      </w:r>
      <w:r w:rsidR="00196658" w:rsidRPr="0061306C">
        <w:rPr>
          <w:rFonts w:eastAsia="MS PMincho"/>
        </w:rPr>
        <w:t xml:space="preserve">that </w:t>
      </w:r>
      <w:r w:rsidR="00E50AB0">
        <w:rPr>
          <w:rFonts w:eastAsia="MS PMincho"/>
        </w:rPr>
        <w:t>directly impact their lives</w:t>
      </w:r>
      <w:r w:rsidR="00196658" w:rsidRPr="0061306C">
        <w:rPr>
          <w:rFonts w:eastAsia="MS PMincho"/>
        </w:rPr>
        <w:t xml:space="preserve">. </w:t>
      </w:r>
      <w:r w:rsidR="006F138A">
        <w:rPr>
          <w:rFonts w:eastAsia="MS PMincho"/>
        </w:rPr>
        <w:t>Recognized as valuable contributor</w:t>
      </w:r>
      <w:r w:rsidR="00ED73E3">
        <w:rPr>
          <w:rFonts w:eastAsia="MS PMincho"/>
        </w:rPr>
        <w:t>s</w:t>
      </w:r>
      <w:r w:rsidR="006F138A">
        <w:rPr>
          <w:rFonts w:eastAsia="MS PMincho"/>
        </w:rPr>
        <w:t xml:space="preserve">, young people </w:t>
      </w:r>
      <w:r w:rsidR="00BB6CE8" w:rsidRPr="0061306C">
        <w:rPr>
          <w:rFonts w:eastAsia="MS PMincho"/>
          <w:color w:val="333333"/>
        </w:rPr>
        <w:t>are guided to develop the belief that they have what they need to reach their goals and can seek out and advocate for the resources they need</w:t>
      </w:r>
      <w:r w:rsidR="00BB6CE8" w:rsidRPr="0061306C">
        <w:rPr>
          <w:rFonts w:eastAsia="MS PMincho"/>
        </w:rPr>
        <w:t xml:space="preserve">. </w:t>
      </w:r>
    </w:p>
    <w:p w:rsidR="007268AB" w:rsidRPr="0061306C" w:rsidRDefault="007268AB" w:rsidP="00816D64">
      <w:pPr>
        <w:pStyle w:val="NoSpacing"/>
        <w:rPr>
          <w:rFonts w:eastAsia="MS PMincho"/>
          <w:b/>
          <w:color w:val="000000"/>
        </w:rPr>
      </w:pPr>
    </w:p>
    <w:p w:rsidR="00F21F3A" w:rsidRPr="0061306C" w:rsidRDefault="00B211FA" w:rsidP="00816D64">
      <w:pPr>
        <w:pStyle w:val="NoSpacing"/>
        <w:rPr>
          <w:rFonts w:eastAsia="MS PMincho"/>
          <w:color w:val="333333"/>
        </w:rPr>
      </w:pPr>
      <w:r w:rsidRPr="0061306C">
        <w:rPr>
          <w:rFonts w:eastAsia="MS PMincho"/>
          <w:b/>
          <w:color w:val="000000"/>
          <w:sz w:val="28"/>
          <w:szCs w:val="28"/>
        </w:rPr>
        <w:t>Pos</w:t>
      </w:r>
      <w:r w:rsidR="00BB6CE8" w:rsidRPr="0061306C">
        <w:rPr>
          <w:rFonts w:eastAsia="MS PMincho"/>
          <w:b/>
          <w:color w:val="000000"/>
          <w:sz w:val="28"/>
          <w:szCs w:val="28"/>
        </w:rPr>
        <w:t>i</w:t>
      </w:r>
      <w:r w:rsidRPr="0061306C">
        <w:rPr>
          <w:rFonts w:eastAsia="MS PMincho"/>
          <w:b/>
          <w:color w:val="000000"/>
          <w:sz w:val="28"/>
          <w:szCs w:val="28"/>
        </w:rPr>
        <w:t>t</w:t>
      </w:r>
      <w:r w:rsidR="007268AB" w:rsidRPr="0061306C">
        <w:rPr>
          <w:rFonts w:eastAsia="MS PMincho"/>
          <w:b/>
          <w:color w:val="000000"/>
          <w:sz w:val="28"/>
          <w:szCs w:val="28"/>
        </w:rPr>
        <w:t>ive and High Expectations…with S</w:t>
      </w:r>
      <w:r w:rsidRPr="0061306C">
        <w:rPr>
          <w:rFonts w:eastAsia="MS PMincho"/>
          <w:b/>
          <w:color w:val="000000"/>
          <w:sz w:val="28"/>
          <w:szCs w:val="28"/>
        </w:rPr>
        <w:t>upport</w:t>
      </w:r>
      <w:r w:rsidR="007268AB" w:rsidRPr="0061306C">
        <w:rPr>
          <w:rFonts w:eastAsia="MS PMincho"/>
          <w:b/>
          <w:color w:val="000000"/>
        </w:rPr>
        <w:t>.</w:t>
      </w:r>
      <w:r w:rsidR="004426F8" w:rsidRPr="0061306C">
        <w:rPr>
          <w:rFonts w:eastAsia="MS PMincho"/>
          <w:color w:val="000000"/>
        </w:rPr>
        <w:t xml:space="preserve"> </w:t>
      </w:r>
      <w:r w:rsidR="006F138A">
        <w:rPr>
          <w:rFonts w:eastAsia="MS PMincho"/>
          <w:color w:val="000000"/>
        </w:rPr>
        <w:t xml:space="preserve">Positive and </w:t>
      </w:r>
      <w:r w:rsidR="006F138A">
        <w:rPr>
          <w:rFonts w:eastAsia="MS PMincho"/>
          <w:color w:val="333333"/>
        </w:rPr>
        <w:t>h</w:t>
      </w:r>
      <w:r w:rsidR="00C55236" w:rsidRPr="0061306C">
        <w:rPr>
          <w:rFonts w:eastAsia="MS PMincho"/>
          <w:color w:val="333333"/>
        </w:rPr>
        <w:t>igh expec</w:t>
      </w:r>
      <w:r w:rsidR="006F138A">
        <w:rPr>
          <w:rFonts w:eastAsia="MS PMincho"/>
          <w:color w:val="333333"/>
        </w:rPr>
        <w:t xml:space="preserve">tation messages communicate clear </w:t>
      </w:r>
      <w:r w:rsidR="00C55236" w:rsidRPr="0061306C">
        <w:rPr>
          <w:rFonts w:eastAsia="MS PMincho"/>
          <w:color w:val="333333"/>
        </w:rPr>
        <w:t>guidance</w:t>
      </w:r>
      <w:r w:rsidR="006F138A">
        <w:rPr>
          <w:rFonts w:eastAsia="MS PMincho"/>
          <w:color w:val="333333"/>
        </w:rPr>
        <w:t>, structure, and challenge and—most importantly—convey a belief in young peoples’</w:t>
      </w:r>
      <w:r w:rsidR="00C55236" w:rsidRPr="0061306C">
        <w:rPr>
          <w:rFonts w:eastAsia="MS PMincho"/>
          <w:color w:val="333333"/>
        </w:rPr>
        <w:t xml:space="preserve"> innate resilience</w:t>
      </w:r>
      <w:r w:rsidR="006F138A">
        <w:rPr>
          <w:rFonts w:eastAsia="MS PMincho"/>
          <w:color w:val="333333"/>
        </w:rPr>
        <w:t>. L</w:t>
      </w:r>
      <w:r w:rsidR="00C55236" w:rsidRPr="0061306C">
        <w:rPr>
          <w:rFonts w:eastAsia="MS PMincho"/>
          <w:color w:val="333333"/>
        </w:rPr>
        <w:t>ook for str</w:t>
      </w:r>
      <w:r w:rsidR="006F138A">
        <w:rPr>
          <w:rFonts w:eastAsia="MS PMincho"/>
          <w:color w:val="333333"/>
        </w:rPr>
        <w:t xml:space="preserve">engths versus </w:t>
      </w:r>
      <w:r w:rsidR="00C55236" w:rsidRPr="0061306C">
        <w:rPr>
          <w:rFonts w:eastAsia="MS PMincho"/>
          <w:color w:val="333333"/>
        </w:rPr>
        <w:t>deficits.</w:t>
      </w:r>
    </w:p>
    <w:p w:rsidR="008E7B1F" w:rsidRPr="0061306C" w:rsidRDefault="008E7B1F" w:rsidP="00816D64">
      <w:pPr>
        <w:pStyle w:val="NoSpacing"/>
      </w:pPr>
    </w:p>
    <w:p w:rsidR="00BB6CE8" w:rsidRPr="0061306C" w:rsidRDefault="007268AB" w:rsidP="00816D64">
      <w:pPr>
        <w:pStyle w:val="NoSpacing"/>
        <w:rPr>
          <w:rFonts w:eastAsia="MS PMincho"/>
        </w:rPr>
      </w:pPr>
      <w:r w:rsidRPr="0061306C">
        <w:rPr>
          <w:rFonts w:eastAsia="MS PMincho"/>
          <w:b/>
          <w:sz w:val="28"/>
          <w:szCs w:val="28"/>
        </w:rPr>
        <w:t>Mastery</w:t>
      </w:r>
      <w:r w:rsidRPr="0061306C">
        <w:rPr>
          <w:rFonts w:eastAsia="MS PMincho"/>
          <w:b/>
        </w:rPr>
        <w:t>.</w:t>
      </w:r>
      <w:r w:rsidR="00196658" w:rsidRPr="0061306C">
        <w:rPr>
          <w:rFonts w:eastAsia="MS PMincho"/>
        </w:rPr>
        <w:t xml:space="preserve"> </w:t>
      </w:r>
      <w:r w:rsidR="00A91B53">
        <w:rPr>
          <w:rFonts w:eastAsia="MS PMincho"/>
        </w:rPr>
        <w:t xml:space="preserve">Young people require </w:t>
      </w:r>
      <w:r w:rsidR="00BB6CE8" w:rsidRPr="0061306C">
        <w:rPr>
          <w:rFonts w:eastAsia="MS PMincho"/>
        </w:rPr>
        <w:t xml:space="preserve">experiences that allow them to </w:t>
      </w:r>
      <w:r w:rsidR="00A91B53">
        <w:rPr>
          <w:rFonts w:eastAsia="MS PMincho"/>
        </w:rPr>
        <w:t xml:space="preserve">develop skills and mastery with </w:t>
      </w:r>
      <w:r w:rsidR="006F138A">
        <w:rPr>
          <w:rFonts w:eastAsia="MS PMincho"/>
        </w:rPr>
        <w:t xml:space="preserve">something (anything) </w:t>
      </w:r>
      <w:r w:rsidR="00BB6CE8" w:rsidRPr="0061306C">
        <w:rPr>
          <w:rFonts w:eastAsia="MS PMincho"/>
        </w:rPr>
        <w:t>in order to</w:t>
      </w:r>
      <w:r w:rsidR="006F138A">
        <w:rPr>
          <w:rFonts w:eastAsia="MS PMincho"/>
        </w:rPr>
        <w:t xml:space="preserve"> develop self-</w:t>
      </w:r>
      <w:r w:rsidR="00BB6CE8" w:rsidRPr="0061306C">
        <w:rPr>
          <w:rFonts w:eastAsia="MS PMincho"/>
        </w:rPr>
        <w:t>efficacy and self-confidence.</w:t>
      </w:r>
    </w:p>
    <w:p w:rsidR="0061306C" w:rsidRDefault="0061306C" w:rsidP="00816D64">
      <w:pPr>
        <w:pStyle w:val="NoSpacing"/>
        <w:rPr>
          <w:rFonts w:eastAsia="MS PMincho"/>
          <w:b/>
        </w:rPr>
      </w:pPr>
    </w:p>
    <w:p w:rsidR="008E7B1F" w:rsidRPr="0061306C" w:rsidRDefault="00196658" w:rsidP="00816D64">
      <w:pPr>
        <w:pStyle w:val="NoSpacing"/>
        <w:rPr>
          <w:rFonts w:eastAsia="MS PMincho"/>
        </w:rPr>
      </w:pPr>
      <w:r w:rsidRPr="0061306C">
        <w:rPr>
          <w:rFonts w:eastAsia="MS PMincho"/>
          <w:b/>
          <w:sz w:val="28"/>
          <w:szCs w:val="28"/>
        </w:rPr>
        <w:t>Real Talk</w:t>
      </w:r>
      <w:r w:rsidRPr="0061306C">
        <w:rPr>
          <w:rFonts w:eastAsia="MS PMincho"/>
          <w:b/>
        </w:rPr>
        <w:t>.</w:t>
      </w:r>
      <w:r w:rsidRPr="0061306C">
        <w:rPr>
          <w:rFonts w:eastAsia="MS PMincho"/>
        </w:rPr>
        <w:t xml:space="preserve"> </w:t>
      </w:r>
      <w:r w:rsidR="008726B0">
        <w:rPr>
          <w:rFonts w:eastAsia="MS PMincho"/>
        </w:rPr>
        <w:t xml:space="preserve">In survey research, young people consistently report </w:t>
      </w:r>
      <w:r w:rsidR="008E7B1F" w:rsidRPr="0061306C">
        <w:rPr>
          <w:rFonts w:eastAsia="MS PMincho"/>
        </w:rPr>
        <w:t>want</w:t>
      </w:r>
      <w:r w:rsidR="008726B0">
        <w:rPr>
          <w:rFonts w:eastAsia="MS PMincho"/>
        </w:rPr>
        <w:t xml:space="preserve">ing honest and open conversations with adults </w:t>
      </w:r>
      <w:r w:rsidR="008E7B1F" w:rsidRPr="0061306C">
        <w:rPr>
          <w:rFonts w:eastAsia="MS PMincho"/>
        </w:rPr>
        <w:t xml:space="preserve">about </w:t>
      </w:r>
      <w:r w:rsidR="008726B0">
        <w:rPr>
          <w:rFonts w:eastAsia="MS PMincho"/>
        </w:rPr>
        <w:t xml:space="preserve">issues they care about, including </w:t>
      </w:r>
      <w:r w:rsidR="008E7B1F" w:rsidRPr="0061306C">
        <w:rPr>
          <w:rFonts w:eastAsia="MS PMincho"/>
        </w:rPr>
        <w:t xml:space="preserve">discussions </w:t>
      </w:r>
      <w:r w:rsidR="008726B0">
        <w:rPr>
          <w:rFonts w:eastAsia="MS PMincho"/>
        </w:rPr>
        <w:t>about race and equity</w:t>
      </w:r>
      <w:r w:rsidR="008E7B1F" w:rsidRPr="0061306C">
        <w:rPr>
          <w:rFonts w:eastAsia="MS PMincho"/>
        </w:rPr>
        <w:t>.</w:t>
      </w:r>
    </w:p>
    <w:p w:rsidR="0061306C" w:rsidRDefault="0061306C" w:rsidP="00816D64">
      <w:pPr>
        <w:pStyle w:val="NoSpacing"/>
        <w:rPr>
          <w:rFonts w:eastAsia="MS PMincho"/>
          <w:b/>
        </w:rPr>
      </w:pPr>
    </w:p>
    <w:p w:rsidR="00C55236" w:rsidRPr="0061306C" w:rsidRDefault="00196658" w:rsidP="00816D64">
      <w:pPr>
        <w:pStyle w:val="NoSpacing"/>
        <w:rPr>
          <w:rFonts w:eastAsia="MS PMincho"/>
        </w:rPr>
      </w:pPr>
      <w:r w:rsidRPr="0061306C">
        <w:rPr>
          <w:rFonts w:eastAsia="MS PMincho"/>
          <w:b/>
          <w:sz w:val="28"/>
          <w:szCs w:val="28"/>
        </w:rPr>
        <w:t>Creative E</w:t>
      </w:r>
      <w:r w:rsidR="00C55236" w:rsidRPr="0061306C">
        <w:rPr>
          <w:rFonts w:eastAsia="MS PMincho"/>
          <w:b/>
          <w:sz w:val="28"/>
          <w:szCs w:val="28"/>
        </w:rPr>
        <w:t>xpression</w:t>
      </w:r>
      <w:r w:rsidRPr="0061306C">
        <w:rPr>
          <w:rFonts w:eastAsia="MS PMincho"/>
          <w:b/>
        </w:rPr>
        <w:t>.</w:t>
      </w:r>
      <w:r w:rsidRPr="0061306C">
        <w:rPr>
          <w:rFonts w:eastAsia="MS PMincho"/>
        </w:rPr>
        <w:t xml:space="preserve"> </w:t>
      </w:r>
      <w:r w:rsidR="008726B0">
        <w:rPr>
          <w:rFonts w:eastAsia="MS PMincho"/>
        </w:rPr>
        <w:t>This is about h</w:t>
      </w:r>
      <w:r w:rsidR="00C55236" w:rsidRPr="0061306C">
        <w:rPr>
          <w:rFonts w:eastAsia="MS PMincho"/>
        </w:rPr>
        <w:t>aving the opportunity to express one's imagination, to tell one's</w:t>
      </w:r>
      <w:r w:rsidR="007C5670" w:rsidRPr="0061306C">
        <w:rPr>
          <w:rFonts w:eastAsia="MS PMincho"/>
        </w:rPr>
        <w:t xml:space="preserve"> </w:t>
      </w:r>
      <w:r w:rsidR="008726B0">
        <w:rPr>
          <w:rFonts w:eastAsia="MS PMincho"/>
        </w:rPr>
        <w:t>story, and</w:t>
      </w:r>
      <w:r w:rsidR="00C55236" w:rsidRPr="0061306C">
        <w:rPr>
          <w:rFonts w:eastAsia="MS PMincho"/>
        </w:rPr>
        <w:t xml:space="preserve"> to connect one's</w:t>
      </w:r>
      <w:r w:rsidR="00ED73E3">
        <w:rPr>
          <w:rFonts w:eastAsia="MS PMincho"/>
        </w:rPr>
        <w:t xml:space="preserve"> inner experiences </w:t>
      </w:r>
      <w:r w:rsidR="00C55236" w:rsidRPr="0061306C">
        <w:rPr>
          <w:rFonts w:eastAsia="MS PMincho"/>
        </w:rPr>
        <w:t>to the outer world</w:t>
      </w:r>
      <w:r w:rsidR="008726B0">
        <w:rPr>
          <w:rFonts w:eastAsia="MS PMincho"/>
        </w:rPr>
        <w:t>.</w:t>
      </w:r>
    </w:p>
    <w:p w:rsidR="0061306C" w:rsidRDefault="0061306C" w:rsidP="00816D64">
      <w:pPr>
        <w:pStyle w:val="NoSpacing"/>
        <w:rPr>
          <w:rFonts w:eastAsia="MS PMincho"/>
          <w:b/>
        </w:rPr>
      </w:pPr>
    </w:p>
    <w:p w:rsidR="00C55236" w:rsidRPr="0061306C" w:rsidRDefault="00C55236" w:rsidP="00816D64">
      <w:pPr>
        <w:pStyle w:val="NoSpacing"/>
        <w:rPr>
          <w:rFonts w:eastAsia="MS PMincho"/>
        </w:rPr>
      </w:pPr>
      <w:r w:rsidRPr="0061306C">
        <w:rPr>
          <w:rFonts w:eastAsia="MS PMincho"/>
          <w:b/>
          <w:sz w:val="28"/>
          <w:szCs w:val="28"/>
        </w:rPr>
        <w:t>Service</w:t>
      </w:r>
      <w:r w:rsidR="008E7B1F" w:rsidRPr="0061306C">
        <w:rPr>
          <w:rFonts w:eastAsia="MS PMincho"/>
          <w:b/>
          <w:sz w:val="28"/>
          <w:szCs w:val="28"/>
        </w:rPr>
        <w:t xml:space="preserve"> to Others</w:t>
      </w:r>
      <w:r w:rsidR="00196658" w:rsidRPr="0061306C">
        <w:rPr>
          <w:rFonts w:eastAsia="MS PMincho"/>
          <w:b/>
        </w:rPr>
        <w:t>.</w:t>
      </w:r>
      <w:r w:rsidR="00196658" w:rsidRPr="0061306C">
        <w:rPr>
          <w:rFonts w:eastAsia="MS PMincho"/>
        </w:rPr>
        <w:t xml:space="preserve"> </w:t>
      </w:r>
      <w:r w:rsidR="008726B0">
        <w:rPr>
          <w:rFonts w:eastAsia="MS PMincho"/>
        </w:rPr>
        <w:t xml:space="preserve">Young people </w:t>
      </w:r>
      <w:r w:rsidR="005135A8" w:rsidRPr="0061306C">
        <w:rPr>
          <w:rFonts w:eastAsia="MS PMincho"/>
        </w:rPr>
        <w:t xml:space="preserve">benefit from opportunities to help others and </w:t>
      </w:r>
      <w:r w:rsidR="008726B0">
        <w:rPr>
          <w:rFonts w:eastAsia="MS PMincho"/>
        </w:rPr>
        <w:t xml:space="preserve">to contribute </w:t>
      </w:r>
      <w:r w:rsidRPr="0061306C">
        <w:rPr>
          <w:rFonts w:eastAsia="MS PMincho"/>
        </w:rPr>
        <w:t>to the community.</w:t>
      </w:r>
    </w:p>
    <w:p w:rsidR="0061306C" w:rsidRDefault="0061306C" w:rsidP="00816D64">
      <w:pPr>
        <w:pStyle w:val="NoSpacing"/>
        <w:rPr>
          <w:rFonts w:eastAsia="MS PMincho"/>
          <w:b/>
        </w:rPr>
      </w:pPr>
    </w:p>
    <w:p w:rsidR="00406861" w:rsidRPr="0061306C" w:rsidRDefault="00406861" w:rsidP="00816D64">
      <w:pPr>
        <w:pStyle w:val="NoSpacing"/>
        <w:rPr>
          <w:rFonts w:eastAsia="MS PMincho"/>
        </w:rPr>
      </w:pPr>
      <w:r w:rsidRPr="0061306C">
        <w:rPr>
          <w:rFonts w:eastAsia="MS PMincho"/>
          <w:b/>
          <w:sz w:val="28"/>
          <w:szCs w:val="28"/>
        </w:rPr>
        <w:t>Families as Partners in Building Resilience</w:t>
      </w:r>
      <w:r w:rsidR="00196658" w:rsidRPr="0061306C">
        <w:rPr>
          <w:rFonts w:eastAsia="MS PMincho"/>
          <w:b/>
        </w:rPr>
        <w:t>.</w:t>
      </w:r>
      <w:r w:rsidR="00196658" w:rsidRPr="0061306C">
        <w:rPr>
          <w:rFonts w:eastAsia="MS PMincho"/>
        </w:rPr>
        <w:t xml:space="preserve"> </w:t>
      </w:r>
      <w:r w:rsidR="005135A8" w:rsidRPr="0061306C">
        <w:rPr>
          <w:rFonts w:eastAsia="MS PMincho"/>
        </w:rPr>
        <w:t>F</w:t>
      </w:r>
      <w:r w:rsidRPr="0061306C">
        <w:rPr>
          <w:rFonts w:eastAsia="MS PMincho"/>
        </w:rPr>
        <w:t xml:space="preserve">amilies provide the strongest influence for resilience </w:t>
      </w:r>
      <w:r w:rsidR="0028252B">
        <w:rPr>
          <w:rFonts w:eastAsia="MS PMincho"/>
        </w:rPr>
        <w:t>and promoting protective factors. A</w:t>
      </w:r>
      <w:r w:rsidRPr="0061306C">
        <w:rPr>
          <w:rFonts w:eastAsia="MS PMincho"/>
        </w:rPr>
        <w:t xml:space="preserve">ctively include </w:t>
      </w:r>
      <w:r w:rsidR="0028252B">
        <w:rPr>
          <w:rFonts w:eastAsia="MS PMincho"/>
        </w:rPr>
        <w:t>family members to bring</w:t>
      </w:r>
      <w:r w:rsidRPr="0061306C">
        <w:rPr>
          <w:rFonts w:eastAsia="MS PMincho"/>
        </w:rPr>
        <w:t xml:space="preserve"> out the full potential of their ch</w:t>
      </w:r>
      <w:r w:rsidR="0077457C">
        <w:rPr>
          <w:rFonts w:eastAsia="MS PMincho"/>
        </w:rPr>
        <w:t>ild in the school and community settings.</w:t>
      </w:r>
    </w:p>
    <w:p w:rsidR="0061306C" w:rsidRDefault="0061306C" w:rsidP="00816D64">
      <w:pPr>
        <w:pStyle w:val="NoSpacing"/>
        <w:rPr>
          <w:rFonts w:eastAsia="MS PMincho"/>
          <w:b/>
        </w:rPr>
      </w:pPr>
    </w:p>
    <w:p w:rsidR="005135A8" w:rsidRPr="0061306C" w:rsidRDefault="005135A8" w:rsidP="00816D64">
      <w:pPr>
        <w:pStyle w:val="NoSpacing"/>
        <w:rPr>
          <w:rFonts w:eastAsia="MS PMincho"/>
        </w:rPr>
      </w:pPr>
      <w:r w:rsidRPr="0061306C">
        <w:rPr>
          <w:rFonts w:eastAsia="MS PMincho"/>
          <w:b/>
          <w:sz w:val="28"/>
          <w:szCs w:val="28"/>
        </w:rPr>
        <w:t>Cultural Identity</w:t>
      </w:r>
      <w:r w:rsidR="00196658" w:rsidRPr="0061306C">
        <w:rPr>
          <w:rFonts w:eastAsia="MS PMincho"/>
          <w:b/>
        </w:rPr>
        <w:t>.</w:t>
      </w:r>
      <w:r w:rsidR="00196658" w:rsidRPr="0061306C">
        <w:rPr>
          <w:rFonts w:eastAsia="MS PMincho"/>
        </w:rPr>
        <w:t xml:space="preserve"> </w:t>
      </w:r>
      <w:r w:rsidRPr="0061306C">
        <w:rPr>
          <w:rFonts w:eastAsia="MS PMincho"/>
        </w:rPr>
        <w:t>How a young perso</w:t>
      </w:r>
      <w:r w:rsidR="0077457C">
        <w:rPr>
          <w:rFonts w:eastAsia="MS PMincho"/>
        </w:rPr>
        <w:t xml:space="preserve">n </w:t>
      </w:r>
      <w:r w:rsidR="00D51EAE">
        <w:rPr>
          <w:rFonts w:eastAsia="MS PMincho"/>
        </w:rPr>
        <w:t>both identifie</w:t>
      </w:r>
      <w:r w:rsidR="001058DB">
        <w:rPr>
          <w:rFonts w:eastAsia="MS PMincho"/>
        </w:rPr>
        <w:t xml:space="preserve">s with and is </w:t>
      </w:r>
      <w:r w:rsidR="00D51EAE">
        <w:rPr>
          <w:rFonts w:eastAsia="MS PMincho"/>
        </w:rPr>
        <w:t xml:space="preserve">shaped by their culture can be </w:t>
      </w:r>
      <w:r w:rsidR="001058DB">
        <w:rPr>
          <w:rFonts w:eastAsia="MS PMincho"/>
        </w:rPr>
        <w:t xml:space="preserve">a </w:t>
      </w:r>
      <w:r w:rsidR="0077457C">
        <w:rPr>
          <w:rFonts w:eastAsia="MS PMincho"/>
        </w:rPr>
        <w:t>source</w:t>
      </w:r>
      <w:r w:rsidR="00D51EAE">
        <w:rPr>
          <w:rFonts w:eastAsia="MS PMincho"/>
        </w:rPr>
        <w:t xml:space="preserve"> of resilience</w:t>
      </w:r>
      <w:r w:rsidR="0077457C">
        <w:rPr>
          <w:rFonts w:eastAsia="MS PMincho"/>
        </w:rPr>
        <w:t>.</w:t>
      </w:r>
    </w:p>
    <w:p w:rsidR="0061306C" w:rsidRDefault="0061306C" w:rsidP="00816D64">
      <w:pPr>
        <w:pStyle w:val="NoSpacing"/>
        <w:rPr>
          <w:rFonts w:eastAsia="MS PMincho"/>
          <w:b/>
        </w:rPr>
      </w:pPr>
    </w:p>
    <w:p w:rsidR="00196658" w:rsidRPr="0061306C" w:rsidRDefault="00921D53" w:rsidP="00816D64">
      <w:pPr>
        <w:pStyle w:val="NoSpacing"/>
        <w:rPr>
          <w:rFonts w:eastAsia="MS PMincho"/>
        </w:rPr>
      </w:pPr>
      <w:r>
        <w:rPr>
          <w:rFonts w:eastAsia="MS PMincho"/>
          <w:b/>
          <w:sz w:val="28"/>
          <w:szCs w:val="28"/>
        </w:rPr>
        <w:t>Professional</w:t>
      </w:r>
      <w:r w:rsidR="00C638A7" w:rsidRPr="0061306C">
        <w:rPr>
          <w:rFonts w:eastAsia="MS PMincho"/>
          <w:b/>
          <w:sz w:val="28"/>
          <w:szCs w:val="28"/>
        </w:rPr>
        <w:t xml:space="preserve"> Resilience</w:t>
      </w:r>
      <w:r w:rsidR="00196658" w:rsidRPr="0061306C">
        <w:rPr>
          <w:rFonts w:eastAsia="MS PMincho"/>
          <w:b/>
        </w:rPr>
        <w:t>.</w:t>
      </w:r>
      <w:r w:rsidR="00196658" w:rsidRPr="0061306C">
        <w:rPr>
          <w:rFonts w:eastAsia="MS PMincho"/>
        </w:rPr>
        <w:t xml:space="preserve"> </w:t>
      </w:r>
      <w:r>
        <w:rPr>
          <w:rFonts w:eastAsia="MS PMincho"/>
        </w:rPr>
        <w:t>Human Services professionals</w:t>
      </w:r>
      <w:r w:rsidR="0077457C">
        <w:rPr>
          <w:rFonts w:eastAsia="MS PMincho"/>
        </w:rPr>
        <w:t xml:space="preserve"> promote their own </w:t>
      </w:r>
      <w:r w:rsidR="00C638A7" w:rsidRPr="0061306C">
        <w:rPr>
          <w:rFonts w:eastAsia="MS PMincho"/>
        </w:rPr>
        <w:t xml:space="preserve">resilience through staying connected to </w:t>
      </w:r>
      <w:r w:rsidR="00A53214" w:rsidRPr="0061306C">
        <w:rPr>
          <w:rFonts w:eastAsia="MS PMincho"/>
        </w:rPr>
        <w:t xml:space="preserve">their </w:t>
      </w:r>
      <w:r>
        <w:rPr>
          <w:rFonts w:eastAsia="MS PMincho"/>
        </w:rPr>
        <w:t>sense of purpose</w:t>
      </w:r>
      <w:r w:rsidR="00A53214" w:rsidRPr="0061306C">
        <w:rPr>
          <w:rFonts w:eastAsia="MS PMincho"/>
        </w:rPr>
        <w:t>, being life-long learners, cultivating collegial support</w:t>
      </w:r>
      <w:r w:rsidR="0077457C">
        <w:rPr>
          <w:rFonts w:eastAsia="MS PMincho"/>
        </w:rPr>
        <w:t>,</w:t>
      </w:r>
      <w:r w:rsidR="00A53214" w:rsidRPr="0061306C">
        <w:rPr>
          <w:rFonts w:eastAsia="MS PMincho"/>
        </w:rPr>
        <w:t xml:space="preserve"> and </w:t>
      </w:r>
      <w:r>
        <w:rPr>
          <w:rFonts w:eastAsia="MS PMincho"/>
        </w:rPr>
        <w:t>modeling resilience for youth</w:t>
      </w:r>
      <w:r w:rsidR="00A53214" w:rsidRPr="0061306C">
        <w:rPr>
          <w:rFonts w:eastAsia="MS PMincho"/>
        </w:rPr>
        <w:t>.</w:t>
      </w:r>
    </w:p>
    <w:p w:rsidR="0077457C" w:rsidRDefault="0077457C" w:rsidP="00196658">
      <w:pPr>
        <w:pStyle w:val="NoSpacing"/>
        <w:jc w:val="center"/>
        <w:rPr>
          <w:b/>
          <w:color w:val="000000"/>
          <w:sz w:val="32"/>
          <w:szCs w:val="32"/>
        </w:rPr>
      </w:pPr>
    </w:p>
    <w:p w:rsidR="001545FA" w:rsidRPr="00196658" w:rsidRDefault="001545FA" w:rsidP="00196658">
      <w:pPr>
        <w:pStyle w:val="NoSpacing"/>
        <w:jc w:val="center"/>
        <w:rPr>
          <w:b/>
          <w:color w:val="000000"/>
          <w:sz w:val="32"/>
          <w:szCs w:val="32"/>
        </w:rPr>
      </w:pPr>
      <w:r w:rsidRPr="00196658">
        <w:rPr>
          <w:b/>
          <w:color w:val="000000"/>
          <w:sz w:val="32"/>
          <w:szCs w:val="32"/>
        </w:rPr>
        <w:lastRenderedPageBreak/>
        <w:t>Resiliency Breakout Discussion/Action</w:t>
      </w:r>
    </w:p>
    <w:p w:rsidR="001545FA" w:rsidRPr="00816D64" w:rsidRDefault="001545FA" w:rsidP="00816D64">
      <w:pPr>
        <w:pStyle w:val="NoSpacing"/>
        <w:rPr>
          <w:color w:val="000000"/>
          <w:sz w:val="24"/>
          <w:szCs w:val="24"/>
        </w:rPr>
      </w:pPr>
    </w:p>
    <w:p w:rsidR="00196658" w:rsidRDefault="00921D53" w:rsidP="00196658">
      <w:pPr>
        <w:pStyle w:val="NoSpacing"/>
        <w:numPr>
          <w:ilvl w:val="0"/>
          <w:numId w:val="9"/>
        </w:numPr>
        <w:ind w:left="360"/>
        <w:rPr>
          <w:color w:val="000000"/>
          <w:sz w:val="24"/>
          <w:szCs w:val="24"/>
        </w:rPr>
      </w:pPr>
      <w:r>
        <w:rPr>
          <w:color w:val="000000"/>
          <w:sz w:val="24"/>
          <w:szCs w:val="24"/>
        </w:rPr>
        <w:t>What will you do this</w:t>
      </w:r>
      <w:r w:rsidR="0077457C">
        <w:rPr>
          <w:color w:val="000000"/>
          <w:sz w:val="24"/>
          <w:szCs w:val="24"/>
        </w:rPr>
        <w:t xml:space="preserve"> yea</w:t>
      </w:r>
      <w:r w:rsidR="007B2E0B">
        <w:rPr>
          <w:color w:val="000000"/>
          <w:sz w:val="24"/>
          <w:szCs w:val="24"/>
        </w:rPr>
        <w:t xml:space="preserve">r to promote resilience in </w:t>
      </w:r>
      <w:r w:rsidR="0077457C">
        <w:rPr>
          <w:color w:val="000000"/>
          <w:sz w:val="24"/>
          <w:szCs w:val="24"/>
        </w:rPr>
        <w:t>young people</w:t>
      </w:r>
      <w:r w:rsidR="001545FA" w:rsidRPr="00816D64">
        <w:rPr>
          <w:color w:val="000000"/>
          <w:sz w:val="24"/>
          <w:szCs w:val="24"/>
        </w:rPr>
        <w:t>? What can you commit to on a personal and organizational level?</w:t>
      </w: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196658" w:rsidRDefault="001545FA" w:rsidP="00196658">
      <w:pPr>
        <w:pStyle w:val="NoSpacing"/>
        <w:numPr>
          <w:ilvl w:val="0"/>
          <w:numId w:val="9"/>
        </w:numPr>
        <w:ind w:left="360"/>
        <w:rPr>
          <w:color w:val="000000"/>
          <w:sz w:val="24"/>
          <w:szCs w:val="24"/>
        </w:rPr>
      </w:pPr>
      <w:r w:rsidRPr="00196658">
        <w:rPr>
          <w:color w:val="000000"/>
          <w:sz w:val="24"/>
          <w:szCs w:val="24"/>
        </w:rPr>
        <w:t>How will you build</w:t>
      </w:r>
      <w:r w:rsidR="0077457C">
        <w:rPr>
          <w:color w:val="000000"/>
          <w:sz w:val="24"/>
          <w:szCs w:val="24"/>
        </w:rPr>
        <w:t xml:space="preserve"> your own personal and profes</w:t>
      </w:r>
      <w:r w:rsidR="00921D53">
        <w:rPr>
          <w:color w:val="000000"/>
          <w:sz w:val="24"/>
          <w:szCs w:val="24"/>
        </w:rPr>
        <w:t>sional resilience as a professional</w:t>
      </w:r>
      <w:r w:rsidRPr="00196658">
        <w:rPr>
          <w:color w:val="000000"/>
          <w:sz w:val="24"/>
          <w:szCs w:val="24"/>
        </w:rPr>
        <w:t>?</w:t>
      </w: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77457C" w:rsidRDefault="0077457C" w:rsidP="0077457C">
      <w:pPr>
        <w:pStyle w:val="NoSpacing"/>
        <w:rPr>
          <w:color w:val="000000"/>
          <w:sz w:val="24"/>
          <w:szCs w:val="24"/>
        </w:rPr>
      </w:pPr>
    </w:p>
    <w:p w:rsidR="001545FA" w:rsidRPr="00196658" w:rsidRDefault="001545FA" w:rsidP="00196658">
      <w:pPr>
        <w:pStyle w:val="NoSpacing"/>
        <w:numPr>
          <w:ilvl w:val="0"/>
          <w:numId w:val="9"/>
        </w:numPr>
        <w:ind w:left="360"/>
        <w:rPr>
          <w:color w:val="000000"/>
          <w:sz w:val="24"/>
          <w:szCs w:val="24"/>
        </w:rPr>
      </w:pPr>
      <w:r w:rsidRPr="00196658">
        <w:rPr>
          <w:sz w:val="24"/>
          <w:szCs w:val="24"/>
        </w:rPr>
        <w:t>How d</w:t>
      </w:r>
      <w:r w:rsidR="0077457C">
        <w:rPr>
          <w:sz w:val="24"/>
          <w:szCs w:val="24"/>
        </w:rPr>
        <w:t>oes building your own resilience</w:t>
      </w:r>
      <w:r w:rsidRPr="00196658">
        <w:rPr>
          <w:sz w:val="24"/>
          <w:szCs w:val="24"/>
        </w:rPr>
        <w:t xml:space="preserve"> impact your ability to build resilience in young people?</w:t>
      </w:r>
    </w:p>
    <w:p w:rsidR="001545FA" w:rsidRPr="00816D64" w:rsidRDefault="001545FA" w:rsidP="00196658">
      <w:pPr>
        <w:pStyle w:val="NoSpacing"/>
        <w:rPr>
          <w:rFonts w:eastAsia="MS PMincho"/>
          <w:sz w:val="24"/>
          <w:szCs w:val="24"/>
        </w:rPr>
      </w:pPr>
    </w:p>
    <w:sectPr w:rsidR="001545FA" w:rsidRPr="00816D64" w:rsidSect="008E61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16" w:rsidRDefault="008E6116" w:rsidP="008E6116">
      <w:pPr>
        <w:spacing w:after="0" w:line="240" w:lineRule="auto"/>
      </w:pPr>
      <w:r>
        <w:separator/>
      </w:r>
    </w:p>
  </w:endnote>
  <w:endnote w:type="continuationSeparator" w:id="0">
    <w:p w:rsidR="008E6116" w:rsidRDefault="008E6116" w:rsidP="008E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ceanSanMM">
    <w:altName w:val="OceanSan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Default="008E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Pr="008E6116" w:rsidRDefault="008E6116" w:rsidP="008E6116">
    <w:pPr>
      <w:pStyle w:val="Footer"/>
      <w:rPr>
        <w:i/>
        <w:iCs/>
        <w:sz w:val="16"/>
        <w:szCs w:val="16"/>
      </w:rPr>
    </w:pPr>
    <w:bookmarkStart w:id="0" w:name="_GoBack"/>
    <w:bookmarkEnd w:id="0"/>
    <w:r w:rsidRPr="008E6116">
      <w:rPr>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8E6116" w:rsidRPr="008E6116" w:rsidRDefault="008E6116" w:rsidP="008E6116">
    <w:pPr>
      <w:pStyle w:val="Footer"/>
      <w:rPr>
        <w:i/>
        <w:iCs/>
        <w:sz w:val="16"/>
        <w:szCs w:val="16"/>
      </w:rPr>
    </w:pPr>
  </w:p>
  <w:p w:rsidR="008E6116" w:rsidRPr="008E6116" w:rsidRDefault="008E6116">
    <w:pPr>
      <w:pStyle w:val="Footer"/>
      <w:rPr>
        <w:sz w:val="16"/>
        <w:szCs w:val="16"/>
      </w:rPr>
    </w:pPr>
  </w:p>
  <w:p w:rsidR="008E6116" w:rsidRDefault="008E6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Default="008E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16" w:rsidRDefault="008E6116" w:rsidP="008E6116">
      <w:pPr>
        <w:spacing w:after="0" w:line="240" w:lineRule="auto"/>
      </w:pPr>
      <w:r>
        <w:separator/>
      </w:r>
    </w:p>
  </w:footnote>
  <w:footnote w:type="continuationSeparator" w:id="0">
    <w:p w:rsidR="008E6116" w:rsidRDefault="008E6116" w:rsidP="008E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Default="008E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Default="008E6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16" w:rsidRDefault="008E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8D"/>
    <w:multiLevelType w:val="hybridMultilevel"/>
    <w:tmpl w:val="DD8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841"/>
    <w:multiLevelType w:val="hybridMultilevel"/>
    <w:tmpl w:val="F93C1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009A1"/>
    <w:multiLevelType w:val="hybridMultilevel"/>
    <w:tmpl w:val="49D6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13C"/>
    <w:multiLevelType w:val="hybridMultilevel"/>
    <w:tmpl w:val="039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5C6A"/>
    <w:multiLevelType w:val="hybridMultilevel"/>
    <w:tmpl w:val="4818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36C5"/>
    <w:multiLevelType w:val="hybridMultilevel"/>
    <w:tmpl w:val="712045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D07720"/>
    <w:multiLevelType w:val="multilevel"/>
    <w:tmpl w:val="ACB2A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6A73D76"/>
    <w:multiLevelType w:val="hybridMultilevel"/>
    <w:tmpl w:val="5502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93561"/>
    <w:multiLevelType w:val="hybridMultilevel"/>
    <w:tmpl w:val="2E6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C6"/>
    <w:rsid w:val="001058DB"/>
    <w:rsid w:val="001545FA"/>
    <w:rsid w:val="00196658"/>
    <w:rsid w:val="002009E6"/>
    <w:rsid w:val="00245126"/>
    <w:rsid w:val="0028252B"/>
    <w:rsid w:val="0035128D"/>
    <w:rsid w:val="00406861"/>
    <w:rsid w:val="004426F8"/>
    <w:rsid w:val="0049228D"/>
    <w:rsid w:val="005135A8"/>
    <w:rsid w:val="0061306C"/>
    <w:rsid w:val="006159E6"/>
    <w:rsid w:val="006E0EFB"/>
    <w:rsid w:val="006F138A"/>
    <w:rsid w:val="006F2DFF"/>
    <w:rsid w:val="00705864"/>
    <w:rsid w:val="00705A1B"/>
    <w:rsid w:val="007268AB"/>
    <w:rsid w:val="0077457C"/>
    <w:rsid w:val="007B2E0B"/>
    <w:rsid w:val="007C5670"/>
    <w:rsid w:val="007F59B8"/>
    <w:rsid w:val="008055F9"/>
    <w:rsid w:val="00816D64"/>
    <w:rsid w:val="008726B0"/>
    <w:rsid w:val="008C0C0C"/>
    <w:rsid w:val="008E6116"/>
    <w:rsid w:val="008E7B1F"/>
    <w:rsid w:val="00921D53"/>
    <w:rsid w:val="00925B65"/>
    <w:rsid w:val="009815B8"/>
    <w:rsid w:val="00990983"/>
    <w:rsid w:val="00A53214"/>
    <w:rsid w:val="00A91B53"/>
    <w:rsid w:val="00A9719C"/>
    <w:rsid w:val="00B211FA"/>
    <w:rsid w:val="00BA5DE0"/>
    <w:rsid w:val="00BB6CE8"/>
    <w:rsid w:val="00BF7C85"/>
    <w:rsid w:val="00C55236"/>
    <w:rsid w:val="00C638A7"/>
    <w:rsid w:val="00CD0135"/>
    <w:rsid w:val="00CD0A05"/>
    <w:rsid w:val="00D277C6"/>
    <w:rsid w:val="00D51EAE"/>
    <w:rsid w:val="00DA48B2"/>
    <w:rsid w:val="00E15D34"/>
    <w:rsid w:val="00E50AB0"/>
    <w:rsid w:val="00ED73E3"/>
    <w:rsid w:val="00F20A7C"/>
    <w:rsid w:val="00F21D67"/>
    <w:rsid w:val="00F21F3A"/>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B5107-925B-497D-BE8F-CB0C9E4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C6"/>
    <w:pPr>
      <w:ind w:left="720"/>
      <w:contextualSpacing/>
    </w:pPr>
  </w:style>
  <w:style w:type="character" w:styleId="Hyperlink">
    <w:name w:val="Hyperlink"/>
    <w:basedOn w:val="DefaultParagraphFont"/>
    <w:uiPriority w:val="99"/>
    <w:semiHidden/>
    <w:unhideWhenUsed/>
    <w:rsid w:val="00D277C6"/>
    <w:rPr>
      <w:color w:val="0000FF"/>
      <w:u w:val="single"/>
    </w:rPr>
  </w:style>
  <w:style w:type="table" w:styleId="TableGrid">
    <w:name w:val="Table Grid"/>
    <w:basedOn w:val="TableNormal"/>
    <w:uiPriority w:val="59"/>
    <w:rsid w:val="00705A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C55236"/>
    <w:pPr>
      <w:autoSpaceDE w:val="0"/>
      <w:autoSpaceDN w:val="0"/>
      <w:adjustRightInd w:val="0"/>
      <w:spacing w:after="0" w:line="201" w:lineRule="atLeast"/>
    </w:pPr>
    <w:rPr>
      <w:rFonts w:ascii="OceanSanMM" w:eastAsia="Times New Roman" w:hAnsi="OceanSanMM" w:cs="Times New Roman"/>
      <w:sz w:val="24"/>
      <w:szCs w:val="24"/>
    </w:rPr>
  </w:style>
  <w:style w:type="character" w:customStyle="1" w:styleId="apple-converted-space">
    <w:name w:val="apple-converted-space"/>
    <w:basedOn w:val="DefaultParagraphFont"/>
    <w:rsid w:val="004426F8"/>
  </w:style>
  <w:style w:type="paragraph" w:styleId="NoSpacing">
    <w:name w:val="No Spacing"/>
    <w:uiPriority w:val="1"/>
    <w:qFormat/>
    <w:rsid w:val="008E7B1F"/>
    <w:pPr>
      <w:spacing w:after="0" w:line="240" w:lineRule="auto"/>
    </w:pPr>
  </w:style>
  <w:style w:type="paragraph" w:styleId="BalloonText">
    <w:name w:val="Balloon Text"/>
    <w:basedOn w:val="Normal"/>
    <w:link w:val="BalloonTextChar"/>
    <w:uiPriority w:val="99"/>
    <w:semiHidden/>
    <w:unhideWhenUsed/>
    <w:rsid w:val="006F2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FF"/>
    <w:rPr>
      <w:rFonts w:ascii="Tahoma" w:hAnsi="Tahoma" w:cs="Tahoma"/>
      <w:sz w:val="16"/>
      <w:szCs w:val="16"/>
    </w:rPr>
  </w:style>
  <w:style w:type="paragraph" w:styleId="Header">
    <w:name w:val="header"/>
    <w:basedOn w:val="Normal"/>
    <w:link w:val="HeaderChar"/>
    <w:uiPriority w:val="99"/>
    <w:unhideWhenUsed/>
    <w:rsid w:val="008E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16"/>
  </w:style>
  <w:style w:type="paragraph" w:styleId="Footer">
    <w:name w:val="footer"/>
    <w:basedOn w:val="Normal"/>
    <w:link w:val="FooterChar"/>
    <w:uiPriority w:val="99"/>
    <w:unhideWhenUsed/>
    <w:rsid w:val="008E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EEDD-C8F4-4BD3-A90F-B0774562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Wightman, Monica J.   DPI</dc:creator>
  <cp:lastModifiedBy>Thomson, Amy</cp:lastModifiedBy>
  <cp:revision>3</cp:revision>
  <dcterms:created xsi:type="dcterms:W3CDTF">2018-06-22T16:43:00Z</dcterms:created>
  <dcterms:modified xsi:type="dcterms:W3CDTF">2018-08-02T20:30:00Z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