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584" w:rsidRDefault="003C6428">
      <w:pPr>
        <w:spacing w:line="240" w:lineRule="auto"/>
        <w:jc w:val="center"/>
      </w:pPr>
      <w:r>
        <w:rPr>
          <w:b/>
          <w:sz w:val="24"/>
          <w:szCs w:val="24"/>
          <w:u w:val="single"/>
        </w:rPr>
        <w:t>Youth</w:t>
      </w:r>
      <w:r w:rsidR="007A7C6A">
        <w:rPr>
          <w:b/>
          <w:sz w:val="24"/>
          <w:szCs w:val="24"/>
          <w:u w:val="single"/>
        </w:rPr>
        <w:t xml:space="preserve"> Resiliency Plan*</w:t>
      </w:r>
    </w:p>
    <w:p w:rsidR="00F46584" w:rsidRDefault="00F46584">
      <w:pPr>
        <w:spacing w:line="240" w:lineRule="auto"/>
        <w:jc w:val="center"/>
      </w:pPr>
    </w:p>
    <w:tbl>
      <w:tblPr>
        <w:tblStyle w:val="a"/>
        <w:tblW w:w="93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55"/>
        <w:gridCol w:w="3390"/>
      </w:tblGrid>
      <w:tr w:rsidR="00F46584">
        <w:tc>
          <w:tcPr>
            <w:tcW w:w="5955" w:type="dxa"/>
            <w:tcMar>
              <w:top w:w="100" w:type="dxa"/>
              <w:left w:w="100" w:type="dxa"/>
              <w:bottom w:w="100" w:type="dxa"/>
              <w:right w:w="100" w:type="dxa"/>
            </w:tcMar>
          </w:tcPr>
          <w:p w:rsidR="00F46584" w:rsidRDefault="007A7C6A">
            <w:pPr>
              <w:widowControl w:val="0"/>
              <w:spacing w:line="240" w:lineRule="auto"/>
            </w:pPr>
            <w:r>
              <w:rPr>
                <w:b/>
                <w:sz w:val="24"/>
                <w:szCs w:val="24"/>
              </w:rPr>
              <w:t>Name:</w:t>
            </w:r>
          </w:p>
        </w:tc>
        <w:tc>
          <w:tcPr>
            <w:tcW w:w="3390" w:type="dxa"/>
            <w:tcMar>
              <w:top w:w="100" w:type="dxa"/>
              <w:left w:w="100" w:type="dxa"/>
              <w:bottom w:w="100" w:type="dxa"/>
              <w:right w:w="100" w:type="dxa"/>
            </w:tcMar>
          </w:tcPr>
          <w:p w:rsidR="00F46584" w:rsidRDefault="007A7C6A">
            <w:pPr>
              <w:widowControl w:val="0"/>
              <w:spacing w:line="240" w:lineRule="auto"/>
            </w:pPr>
            <w:r>
              <w:rPr>
                <w:b/>
                <w:sz w:val="24"/>
                <w:szCs w:val="24"/>
              </w:rPr>
              <w:t>Team:</w:t>
            </w:r>
          </w:p>
        </w:tc>
      </w:tr>
      <w:tr w:rsidR="00F46584">
        <w:tc>
          <w:tcPr>
            <w:tcW w:w="5955" w:type="dxa"/>
            <w:tcMar>
              <w:top w:w="100" w:type="dxa"/>
              <w:left w:w="100" w:type="dxa"/>
              <w:bottom w:w="100" w:type="dxa"/>
              <w:right w:w="100" w:type="dxa"/>
            </w:tcMar>
          </w:tcPr>
          <w:p w:rsidR="00F46584" w:rsidRDefault="007A7C6A">
            <w:pPr>
              <w:widowControl w:val="0"/>
              <w:spacing w:line="240" w:lineRule="auto"/>
            </w:pPr>
            <w:r>
              <w:rPr>
                <w:b/>
                <w:sz w:val="24"/>
                <w:szCs w:val="24"/>
              </w:rPr>
              <w:t>Plan Start Date:</w:t>
            </w:r>
          </w:p>
        </w:tc>
        <w:tc>
          <w:tcPr>
            <w:tcW w:w="3390" w:type="dxa"/>
            <w:tcMar>
              <w:top w:w="100" w:type="dxa"/>
              <w:left w:w="100" w:type="dxa"/>
              <w:bottom w:w="100" w:type="dxa"/>
              <w:right w:w="100" w:type="dxa"/>
            </w:tcMar>
          </w:tcPr>
          <w:p w:rsidR="00F46584" w:rsidRDefault="007A7C6A">
            <w:pPr>
              <w:widowControl w:val="0"/>
              <w:spacing w:line="240" w:lineRule="auto"/>
            </w:pPr>
            <w:r>
              <w:rPr>
                <w:b/>
                <w:sz w:val="24"/>
                <w:szCs w:val="24"/>
              </w:rPr>
              <w:t>Grade:</w:t>
            </w:r>
          </w:p>
        </w:tc>
      </w:tr>
      <w:tr w:rsidR="00F46584">
        <w:trPr>
          <w:trHeight w:val="440"/>
        </w:trPr>
        <w:tc>
          <w:tcPr>
            <w:tcW w:w="9345" w:type="dxa"/>
            <w:gridSpan w:val="2"/>
            <w:tcMar>
              <w:top w:w="100" w:type="dxa"/>
              <w:left w:w="100" w:type="dxa"/>
              <w:bottom w:w="100" w:type="dxa"/>
              <w:right w:w="100" w:type="dxa"/>
            </w:tcMar>
          </w:tcPr>
          <w:p w:rsidR="00BD5D7D" w:rsidRPr="007268AB" w:rsidRDefault="00BD5D7D" w:rsidP="00BD5D7D">
            <w:pPr>
              <w:pStyle w:val="NoSpacing"/>
              <w:rPr>
                <w:rFonts w:cstheme="minorHAnsi"/>
                <w:sz w:val="28"/>
                <w:szCs w:val="28"/>
                <w:bdr w:val="none" w:sz="0" w:space="0" w:color="auto" w:frame="1"/>
                <w:shd w:val="clear" w:color="auto" w:fill="FFFFFF"/>
              </w:rPr>
            </w:pPr>
            <w:r w:rsidRPr="007268AB">
              <w:rPr>
                <w:rFonts w:cstheme="minorHAnsi"/>
                <w:b/>
                <w:sz w:val="28"/>
                <w:szCs w:val="28"/>
                <w:bdr w:val="none" w:sz="0" w:space="0" w:color="auto" w:frame="1"/>
                <w:shd w:val="clear" w:color="auto" w:fill="FFFFFF"/>
              </w:rPr>
              <w:t>Resilience</w:t>
            </w:r>
            <w:r w:rsidRPr="007268AB">
              <w:rPr>
                <w:rStyle w:val="apple-converted-space"/>
                <w:rFonts w:cstheme="minorHAnsi"/>
                <w:b/>
                <w:color w:val="086590"/>
                <w:sz w:val="28"/>
                <w:szCs w:val="28"/>
                <w:shd w:val="clear" w:color="auto" w:fill="FFFFFF"/>
              </w:rPr>
              <w:t> </w:t>
            </w:r>
            <w:r w:rsidRPr="007268AB">
              <w:rPr>
                <w:rFonts w:cstheme="minorHAnsi"/>
                <w:sz w:val="28"/>
                <w:szCs w:val="28"/>
                <w:shd w:val="clear" w:color="auto" w:fill="FFFFFF"/>
              </w:rPr>
              <w:t xml:space="preserve">is the ability to overcome challenges of all kinds and </w:t>
            </w:r>
            <w:r>
              <w:rPr>
                <w:rFonts w:cstheme="minorHAnsi"/>
                <w:sz w:val="28"/>
                <w:szCs w:val="28"/>
                <w:shd w:val="clear" w:color="auto" w:fill="FFFFFF"/>
              </w:rPr>
              <w:t xml:space="preserve">to </w:t>
            </w:r>
            <w:r w:rsidRPr="007268AB">
              <w:rPr>
                <w:rFonts w:cstheme="minorHAnsi"/>
                <w:sz w:val="28"/>
                <w:szCs w:val="28"/>
                <w:shd w:val="clear" w:color="auto" w:fill="FFFFFF"/>
              </w:rPr>
              <w:t>bounce back stronger, wiser</w:t>
            </w:r>
            <w:r>
              <w:rPr>
                <w:rFonts w:cstheme="minorHAnsi"/>
                <w:sz w:val="28"/>
                <w:szCs w:val="28"/>
                <w:shd w:val="clear" w:color="auto" w:fill="FFFFFF"/>
              </w:rPr>
              <w:t>,</w:t>
            </w:r>
            <w:r w:rsidRPr="007268AB">
              <w:rPr>
                <w:rFonts w:cstheme="minorHAnsi"/>
                <w:sz w:val="28"/>
                <w:szCs w:val="28"/>
                <w:shd w:val="clear" w:color="auto" w:fill="FFFFFF"/>
              </w:rPr>
              <w:t xml:space="preserve"> and more personally powerful.</w:t>
            </w:r>
            <w:r w:rsidRPr="007268AB">
              <w:rPr>
                <w:rFonts w:cstheme="minorHAnsi"/>
                <w:sz w:val="28"/>
                <w:szCs w:val="28"/>
                <w:bdr w:val="none" w:sz="0" w:space="0" w:color="auto" w:frame="1"/>
                <w:shd w:val="clear" w:color="auto" w:fill="FFFFFF"/>
              </w:rPr>
              <w:t xml:space="preserve"> </w:t>
            </w:r>
          </w:p>
          <w:p w:rsidR="00F46584" w:rsidRDefault="00F46584" w:rsidP="00BD5D7D">
            <w:pPr>
              <w:widowControl w:val="0"/>
              <w:spacing w:line="240" w:lineRule="auto"/>
            </w:pPr>
          </w:p>
        </w:tc>
      </w:tr>
    </w:tbl>
    <w:p w:rsidR="00F46584" w:rsidRDefault="00F46584">
      <w:pPr>
        <w:jc w:val="center"/>
      </w:pPr>
    </w:p>
    <w:p w:rsidR="00F46584" w:rsidRDefault="007A7C6A">
      <w:pPr>
        <w:jc w:val="center"/>
      </w:pPr>
      <w:r>
        <w:rPr>
          <w:b/>
          <w:u w:val="single"/>
        </w:rPr>
        <w:t>Resiliency Protective Factors</w:t>
      </w:r>
    </w:p>
    <w:p w:rsidR="00F46584" w:rsidRDefault="00F46584">
      <w:pPr>
        <w:jc w:val="center"/>
      </w:pP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46584">
        <w:trPr>
          <w:jc w:val="center"/>
        </w:trPr>
        <w:tc>
          <w:tcPr>
            <w:tcW w:w="9360" w:type="dxa"/>
            <w:shd w:val="clear" w:color="auto" w:fill="B7B7B7"/>
            <w:tcMar>
              <w:top w:w="100" w:type="dxa"/>
              <w:left w:w="100" w:type="dxa"/>
              <w:bottom w:w="100" w:type="dxa"/>
              <w:right w:w="100" w:type="dxa"/>
            </w:tcMar>
          </w:tcPr>
          <w:p w:rsidR="00F46584" w:rsidRDefault="007A7C6A">
            <w:r>
              <w:rPr>
                <w:b/>
              </w:rPr>
              <w:t>Caring Relationships</w:t>
            </w:r>
            <w:r>
              <w:t xml:space="preserve"> - Relationships that convey compassion, respect, empathy, interest and encouragement. Connecting with others.</w:t>
            </w:r>
          </w:p>
        </w:tc>
      </w:tr>
      <w:tr w:rsidR="00F46584">
        <w:trPr>
          <w:jc w:val="center"/>
        </w:trPr>
        <w:tc>
          <w:tcPr>
            <w:tcW w:w="9360" w:type="dxa"/>
            <w:tcMar>
              <w:top w:w="100" w:type="dxa"/>
              <w:left w:w="100" w:type="dxa"/>
              <w:bottom w:w="100" w:type="dxa"/>
              <w:right w:w="100" w:type="dxa"/>
            </w:tcMar>
          </w:tcPr>
          <w:p w:rsidR="00F46584" w:rsidRDefault="007A7C6A">
            <w:pPr>
              <w:widowControl w:val="0"/>
              <w:spacing w:line="240" w:lineRule="auto"/>
            </w:pPr>
            <w:r>
              <w:rPr>
                <w:b/>
              </w:rPr>
              <w:t>Individual plan:</w:t>
            </w:r>
          </w:p>
          <w:p w:rsidR="00F46584" w:rsidRDefault="007A7C6A">
            <w:pPr>
              <w:widowControl w:val="0"/>
              <w:spacing w:line="240" w:lineRule="auto"/>
            </w:pPr>
            <w:r>
              <w:rPr>
                <w:b/>
              </w:rPr>
              <w:t>Who:</w:t>
            </w:r>
          </w:p>
          <w:p w:rsidR="00F46584" w:rsidRDefault="007A7C6A">
            <w:pPr>
              <w:widowControl w:val="0"/>
              <w:spacing w:line="240" w:lineRule="auto"/>
            </w:pPr>
            <w:r>
              <w:rPr>
                <w:b/>
              </w:rPr>
              <w:t>Timeline:</w:t>
            </w:r>
          </w:p>
        </w:tc>
      </w:tr>
      <w:tr w:rsidR="00F46584">
        <w:trPr>
          <w:jc w:val="center"/>
        </w:trPr>
        <w:tc>
          <w:tcPr>
            <w:tcW w:w="9360" w:type="dxa"/>
            <w:shd w:val="clear" w:color="auto" w:fill="B7B7B7"/>
            <w:tcMar>
              <w:top w:w="100" w:type="dxa"/>
              <w:left w:w="100" w:type="dxa"/>
              <w:bottom w:w="100" w:type="dxa"/>
              <w:right w:w="100" w:type="dxa"/>
            </w:tcMar>
          </w:tcPr>
          <w:p w:rsidR="00F46584" w:rsidRDefault="007A7C6A">
            <w:r>
              <w:rPr>
                <w:b/>
              </w:rPr>
              <w:t>Meaningful Participation</w:t>
            </w:r>
            <w:r>
              <w:t xml:space="preserve">- Allowing young people to have a voice and speak up for what they need. Don’t do </w:t>
            </w:r>
            <w:r>
              <w:rPr>
                <w:i/>
              </w:rPr>
              <w:t>for</w:t>
            </w:r>
            <w:r>
              <w:t xml:space="preserve">, do </w:t>
            </w:r>
            <w:r>
              <w:rPr>
                <w:i/>
              </w:rPr>
              <w:t>with</w:t>
            </w:r>
            <w:r>
              <w:t xml:space="preserve"> them.</w:t>
            </w:r>
          </w:p>
        </w:tc>
      </w:tr>
      <w:tr w:rsidR="00F46584">
        <w:trPr>
          <w:jc w:val="center"/>
        </w:trPr>
        <w:tc>
          <w:tcPr>
            <w:tcW w:w="9360" w:type="dxa"/>
            <w:tcMar>
              <w:top w:w="100" w:type="dxa"/>
              <w:left w:w="100" w:type="dxa"/>
              <w:bottom w:w="100" w:type="dxa"/>
              <w:right w:w="100" w:type="dxa"/>
            </w:tcMar>
          </w:tcPr>
          <w:p w:rsidR="00F46584" w:rsidRDefault="007A7C6A">
            <w:pPr>
              <w:widowControl w:val="0"/>
              <w:spacing w:line="240" w:lineRule="auto"/>
            </w:pPr>
            <w:r>
              <w:rPr>
                <w:b/>
              </w:rPr>
              <w:t>Individual plan:</w:t>
            </w:r>
          </w:p>
          <w:p w:rsidR="00F46584" w:rsidRDefault="007A7C6A">
            <w:pPr>
              <w:widowControl w:val="0"/>
              <w:spacing w:line="240" w:lineRule="auto"/>
            </w:pPr>
            <w:r>
              <w:rPr>
                <w:b/>
              </w:rPr>
              <w:t>Who:</w:t>
            </w:r>
          </w:p>
          <w:p w:rsidR="00F46584" w:rsidRDefault="007A7C6A">
            <w:pPr>
              <w:widowControl w:val="0"/>
              <w:spacing w:line="240" w:lineRule="auto"/>
            </w:pPr>
            <w:r>
              <w:rPr>
                <w:b/>
              </w:rPr>
              <w:t>Timeline:</w:t>
            </w:r>
          </w:p>
        </w:tc>
      </w:tr>
      <w:tr w:rsidR="00F46584">
        <w:trPr>
          <w:jc w:val="center"/>
        </w:trPr>
        <w:tc>
          <w:tcPr>
            <w:tcW w:w="9360" w:type="dxa"/>
            <w:shd w:val="clear" w:color="auto" w:fill="B7B7B7"/>
            <w:tcMar>
              <w:top w:w="100" w:type="dxa"/>
              <w:left w:w="100" w:type="dxa"/>
              <w:bottom w:w="100" w:type="dxa"/>
              <w:right w:w="100" w:type="dxa"/>
            </w:tcMar>
          </w:tcPr>
          <w:p w:rsidR="00F46584" w:rsidRDefault="007A7C6A">
            <w:r>
              <w:rPr>
                <w:b/>
              </w:rPr>
              <w:t>High Expectations</w:t>
            </w:r>
            <w:r>
              <w:t>- Messages of high expectations convey a belief in the youth’s abilities (may need to have support in place). Look for strengths. Provide clear limits and consequences (even with trauma impacted students).</w:t>
            </w:r>
          </w:p>
        </w:tc>
      </w:tr>
      <w:tr w:rsidR="00F46584">
        <w:trPr>
          <w:jc w:val="center"/>
        </w:trPr>
        <w:tc>
          <w:tcPr>
            <w:tcW w:w="9360" w:type="dxa"/>
            <w:tcMar>
              <w:top w:w="100" w:type="dxa"/>
              <w:left w:w="100" w:type="dxa"/>
              <w:bottom w:w="100" w:type="dxa"/>
              <w:right w:w="100" w:type="dxa"/>
            </w:tcMar>
          </w:tcPr>
          <w:p w:rsidR="00F46584" w:rsidRDefault="007A7C6A">
            <w:pPr>
              <w:widowControl w:val="0"/>
              <w:spacing w:line="240" w:lineRule="auto"/>
            </w:pPr>
            <w:r>
              <w:rPr>
                <w:b/>
              </w:rPr>
              <w:t>Individual plan:</w:t>
            </w:r>
          </w:p>
          <w:p w:rsidR="00F46584" w:rsidRDefault="007A7C6A">
            <w:pPr>
              <w:widowControl w:val="0"/>
              <w:spacing w:line="240" w:lineRule="auto"/>
            </w:pPr>
            <w:r>
              <w:rPr>
                <w:b/>
              </w:rPr>
              <w:t>Who:</w:t>
            </w:r>
          </w:p>
          <w:p w:rsidR="00F46584" w:rsidRDefault="007A7C6A">
            <w:pPr>
              <w:widowControl w:val="0"/>
              <w:spacing w:line="240" w:lineRule="auto"/>
            </w:pPr>
            <w:r>
              <w:rPr>
                <w:b/>
              </w:rPr>
              <w:t>Timeline:</w:t>
            </w:r>
          </w:p>
        </w:tc>
      </w:tr>
      <w:tr w:rsidR="00F46584">
        <w:trPr>
          <w:jc w:val="center"/>
        </w:trPr>
        <w:tc>
          <w:tcPr>
            <w:tcW w:w="9360" w:type="dxa"/>
            <w:shd w:val="clear" w:color="auto" w:fill="B7B7B7"/>
            <w:tcMar>
              <w:top w:w="100" w:type="dxa"/>
              <w:left w:w="100" w:type="dxa"/>
              <w:bottom w:w="100" w:type="dxa"/>
              <w:right w:w="100" w:type="dxa"/>
            </w:tcMar>
          </w:tcPr>
          <w:p w:rsidR="00F46584" w:rsidRDefault="007A7C6A">
            <w:r>
              <w:rPr>
                <w:b/>
              </w:rPr>
              <w:t>Mastery Experiences</w:t>
            </w:r>
            <w:r>
              <w:t>- Tap into their strengths and care about what they are good at.</w:t>
            </w:r>
          </w:p>
        </w:tc>
      </w:tr>
      <w:tr w:rsidR="00F46584">
        <w:trPr>
          <w:jc w:val="center"/>
        </w:trPr>
        <w:tc>
          <w:tcPr>
            <w:tcW w:w="9360" w:type="dxa"/>
            <w:tcMar>
              <w:top w:w="100" w:type="dxa"/>
              <w:left w:w="100" w:type="dxa"/>
              <w:bottom w:w="100" w:type="dxa"/>
              <w:right w:w="100" w:type="dxa"/>
            </w:tcMar>
          </w:tcPr>
          <w:p w:rsidR="00F46584" w:rsidRDefault="007A7C6A">
            <w:pPr>
              <w:widowControl w:val="0"/>
              <w:spacing w:line="240" w:lineRule="auto"/>
            </w:pPr>
            <w:r>
              <w:rPr>
                <w:b/>
              </w:rPr>
              <w:t>Individual plan:</w:t>
            </w:r>
          </w:p>
          <w:p w:rsidR="00F46584" w:rsidRDefault="007A7C6A">
            <w:pPr>
              <w:widowControl w:val="0"/>
              <w:spacing w:line="240" w:lineRule="auto"/>
            </w:pPr>
            <w:r>
              <w:rPr>
                <w:b/>
              </w:rPr>
              <w:t>Who:</w:t>
            </w:r>
          </w:p>
          <w:p w:rsidR="00F46584" w:rsidRDefault="007A7C6A">
            <w:pPr>
              <w:widowControl w:val="0"/>
              <w:spacing w:line="240" w:lineRule="auto"/>
            </w:pPr>
            <w:r>
              <w:rPr>
                <w:b/>
              </w:rPr>
              <w:t>Timeline:</w:t>
            </w:r>
          </w:p>
        </w:tc>
      </w:tr>
      <w:tr w:rsidR="00F46584">
        <w:trPr>
          <w:jc w:val="center"/>
        </w:trPr>
        <w:tc>
          <w:tcPr>
            <w:tcW w:w="9360" w:type="dxa"/>
            <w:shd w:val="clear" w:color="auto" w:fill="B7B7B7"/>
            <w:tcMar>
              <w:top w:w="100" w:type="dxa"/>
              <w:left w:w="100" w:type="dxa"/>
              <w:bottom w:w="100" w:type="dxa"/>
              <w:right w:w="100" w:type="dxa"/>
            </w:tcMar>
          </w:tcPr>
          <w:p w:rsidR="00F46584" w:rsidRDefault="007A7C6A">
            <w:r>
              <w:rPr>
                <w:b/>
              </w:rPr>
              <w:t>“Real Talk”</w:t>
            </w:r>
            <w:r>
              <w:t>- Take your conversation to a deeper level. Talk about what interests them, engage their opinions.</w:t>
            </w:r>
          </w:p>
        </w:tc>
      </w:tr>
      <w:tr w:rsidR="00F46584">
        <w:trPr>
          <w:jc w:val="center"/>
        </w:trPr>
        <w:tc>
          <w:tcPr>
            <w:tcW w:w="9360" w:type="dxa"/>
            <w:tcMar>
              <w:top w:w="100" w:type="dxa"/>
              <w:left w:w="100" w:type="dxa"/>
              <w:bottom w:w="100" w:type="dxa"/>
              <w:right w:w="100" w:type="dxa"/>
            </w:tcMar>
          </w:tcPr>
          <w:p w:rsidR="00F46584" w:rsidRDefault="007A7C6A">
            <w:pPr>
              <w:widowControl w:val="0"/>
              <w:spacing w:line="240" w:lineRule="auto"/>
            </w:pPr>
            <w:r>
              <w:rPr>
                <w:b/>
              </w:rPr>
              <w:t>Individual plan:</w:t>
            </w:r>
          </w:p>
          <w:p w:rsidR="00F46584" w:rsidRDefault="007A7C6A">
            <w:pPr>
              <w:widowControl w:val="0"/>
              <w:spacing w:line="240" w:lineRule="auto"/>
            </w:pPr>
            <w:r>
              <w:rPr>
                <w:b/>
              </w:rPr>
              <w:t>Who:</w:t>
            </w:r>
          </w:p>
          <w:p w:rsidR="00F46584" w:rsidRDefault="007A7C6A">
            <w:pPr>
              <w:widowControl w:val="0"/>
              <w:spacing w:line="240" w:lineRule="auto"/>
            </w:pPr>
            <w:r>
              <w:rPr>
                <w:b/>
              </w:rPr>
              <w:t>Timeline:</w:t>
            </w:r>
          </w:p>
          <w:p w:rsidR="00F46584" w:rsidRDefault="00F46584">
            <w:pPr>
              <w:widowControl w:val="0"/>
              <w:spacing w:line="240" w:lineRule="auto"/>
            </w:pPr>
          </w:p>
        </w:tc>
      </w:tr>
      <w:tr w:rsidR="00F46584">
        <w:trPr>
          <w:jc w:val="center"/>
        </w:trPr>
        <w:tc>
          <w:tcPr>
            <w:tcW w:w="9360" w:type="dxa"/>
            <w:shd w:val="clear" w:color="auto" w:fill="B7B7B7"/>
            <w:tcMar>
              <w:top w:w="100" w:type="dxa"/>
              <w:left w:w="100" w:type="dxa"/>
              <w:bottom w:w="100" w:type="dxa"/>
              <w:right w:w="100" w:type="dxa"/>
            </w:tcMar>
          </w:tcPr>
          <w:p w:rsidR="00F46584" w:rsidRDefault="007A7C6A">
            <w:r>
              <w:rPr>
                <w:b/>
              </w:rPr>
              <w:lastRenderedPageBreak/>
              <w:t>Creative Expression</w:t>
            </w:r>
            <w:r>
              <w:t>- Tap into their talents with art, music, imagination, building things.</w:t>
            </w:r>
          </w:p>
        </w:tc>
      </w:tr>
      <w:tr w:rsidR="00F46584">
        <w:trPr>
          <w:jc w:val="center"/>
        </w:trPr>
        <w:tc>
          <w:tcPr>
            <w:tcW w:w="9360" w:type="dxa"/>
            <w:tcMar>
              <w:top w:w="100" w:type="dxa"/>
              <w:left w:w="100" w:type="dxa"/>
              <w:bottom w:w="100" w:type="dxa"/>
              <w:right w:w="100" w:type="dxa"/>
            </w:tcMar>
          </w:tcPr>
          <w:p w:rsidR="00F46584" w:rsidRDefault="007A7C6A">
            <w:pPr>
              <w:widowControl w:val="0"/>
              <w:spacing w:line="240" w:lineRule="auto"/>
            </w:pPr>
            <w:r>
              <w:rPr>
                <w:b/>
              </w:rPr>
              <w:t>Individual plan:</w:t>
            </w:r>
          </w:p>
          <w:p w:rsidR="00F46584" w:rsidRDefault="007A7C6A">
            <w:pPr>
              <w:widowControl w:val="0"/>
              <w:spacing w:line="240" w:lineRule="auto"/>
            </w:pPr>
            <w:r>
              <w:rPr>
                <w:b/>
              </w:rPr>
              <w:t>Who:</w:t>
            </w:r>
          </w:p>
          <w:p w:rsidR="00F46584" w:rsidRDefault="007A7C6A">
            <w:pPr>
              <w:widowControl w:val="0"/>
              <w:spacing w:line="240" w:lineRule="auto"/>
            </w:pPr>
            <w:r>
              <w:rPr>
                <w:b/>
              </w:rPr>
              <w:t>Timeline:</w:t>
            </w:r>
          </w:p>
        </w:tc>
      </w:tr>
      <w:tr w:rsidR="00F46584">
        <w:trPr>
          <w:jc w:val="center"/>
        </w:trPr>
        <w:tc>
          <w:tcPr>
            <w:tcW w:w="9360" w:type="dxa"/>
            <w:shd w:val="clear" w:color="auto" w:fill="B7B7B7"/>
            <w:tcMar>
              <w:top w:w="100" w:type="dxa"/>
              <w:left w:w="100" w:type="dxa"/>
              <w:bottom w:w="100" w:type="dxa"/>
              <w:right w:w="100" w:type="dxa"/>
            </w:tcMar>
          </w:tcPr>
          <w:p w:rsidR="00F46584" w:rsidRDefault="007A7C6A">
            <w:r>
              <w:rPr>
                <w:b/>
              </w:rPr>
              <w:t>Service to Others</w:t>
            </w:r>
            <w:r>
              <w:t>- Provide opportunities to help others out. Kids love to give back to the community.</w:t>
            </w:r>
          </w:p>
        </w:tc>
      </w:tr>
      <w:tr w:rsidR="00F46584">
        <w:trPr>
          <w:jc w:val="center"/>
        </w:trPr>
        <w:tc>
          <w:tcPr>
            <w:tcW w:w="9360" w:type="dxa"/>
            <w:tcMar>
              <w:top w:w="100" w:type="dxa"/>
              <w:left w:w="100" w:type="dxa"/>
              <w:bottom w:w="100" w:type="dxa"/>
              <w:right w:w="100" w:type="dxa"/>
            </w:tcMar>
          </w:tcPr>
          <w:p w:rsidR="00F46584" w:rsidRDefault="007A7C6A">
            <w:pPr>
              <w:widowControl w:val="0"/>
              <w:spacing w:line="240" w:lineRule="auto"/>
            </w:pPr>
            <w:r>
              <w:rPr>
                <w:b/>
              </w:rPr>
              <w:t>Individual plan:</w:t>
            </w:r>
          </w:p>
          <w:p w:rsidR="00F46584" w:rsidRDefault="007A7C6A">
            <w:pPr>
              <w:widowControl w:val="0"/>
              <w:spacing w:line="240" w:lineRule="auto"/>
            </w:pPr>
            <w:r>
              <w:rPr>
                <w:b/>
              </w:rPr>
              <w:t>Who:</w:t>
            </w:r>
          </w:p>
          <w:p w:rsidR="00F46584" w:rsidRDefault="007A7C6A">
            <w:pPr>
              <w:widowControl w:val="0"/>
              <w:spacing w:line="240" w:lineRule="auto"/>
            </w:pPr>
            <w:r>
              <w:rPr>
                <w:b/>
              </w:rPr>
              <w:t>Timeline:</w:t>
            </w:r>
          </w:p>
        </w:tc>
      </w:tr>
      <w:tr w:rsidR="00F46584">
        <w:trPr>
          <w:jc w:val="center"/>
        </w:trPr>
        <w:tc>
          <w:tcPr>
            <w:tcW w:w="9360" w:type="dxa"/>
            <w:shd w:val="clear" w:color="auto" w:fill="B7B7B7"/>
            <w:tcMar>
              <w:top w:w="100" w:type="dxa"/>
              <w:left w:w="100" w:type="dxa"/>
              <w:bottom w:w="100" w:type="dxa"/>
              <w:right w:w="100" w:type="dxa"/>
            </w:tcMar>
          </w:tcPr>
          <w:p w:rsidR="00F46584" w:rsidRDefault="004E7CFE">
            <w:r>
              <w:rPr>
                <w:b/>
              </w:rPr>
              <w:t>Cultural</w:t>
            </w:r>
            <w:r w:rsidR="007A7C6A">
              <w:rPr>
                <w:b/>
              </w:rPr>
              <w:t xml:space="preserve"> Identity</w:t>
            </w:r>
            <w:r w:rsidR="007A7C6A">
              <w:t>- Provide opportunities to learn about their own culture. Allow students to be seen, to be heard, to be empowered. Need to understand how they fit into this community.</w:t>
            </w:r>
          </w:p>
        </w:tc>
      </w:tr>
      <w:tr w:rsidR="00F46584">
        <w:trPr>
          <w:jc w:val="center"/>
        </w:trPr>
        <w:tc>
          <w:tcPr>
            <w:tcW w:w="9360" w:type="dxa"/>
            <w:tcMar>
              <w:top w:w="100" w:type="dxa"/>
              <w:left w:w="100" w:type="dxa"/>
              <w:bottom w:w="100" w:type="dxa"/>
              <w:right w:w="100" w:type="dxa"/>
            </w:tcMar>
          </w:tcPr>
          <w:p w:rsidR="00F46584" w:rsidRDefault="007A7C6A">
            <w:pPr>
              <w:widowControl w:val="0"/>
              <w:spacing w:line="240" w:lineRule="auto"/>
            </w:pPr>
            <w:r>
              <w:rPr>
                <w:b/>
              </w:rPr>
              <w:t>Individual plan:</w:t>
            </w:r>
          </w:p>
          <w:p w:rsidR="00F46584" w:rsidRDefault="007A7C6A">
            <w:pPr>
              <w:widowControl w:val="0"/>
              <w:spacing w:line="240" w:lineRule="auto"/>
            </w:pPr>
            <w:r>
              <w:rPr>
                <w:b/>
              </w:rPr>
              <w:t>Who:</w:t>
            </w:r>
          </w:p>
          <w:p w:rsidR="00F46584" w:rsidRDefault="007A7C6A">
            <w:pPr>
              <w:widowControl w:val="0"/>
              <w:spacing w:line="240" w:lineRule="auto"/>
            </w:pPr>
            <w:r>
              <w:rPr>
                <w:b/>
              </w:rPr>
              <w:t>Timeline:</w:t>
            </w:r>
          </w:p>
        </w:tc>
      </w:tr>
    </w:tbl>
    <w:p w:rsidR="00F46584" w:rsidRDefault="00F46584">
      <w:pPr>
        <w:jc w:val="center"/>
      </w:pPr>
    </w:p>
    <w:p w:rsidR="00F46584" w:rsidRPr="007A7C6A" w:rsidRDefault="007A7C6A" w:rsidP="007A7C6A">
      <w:pPr>
        <w:rPr>
          <w:i/>
          <w:sz w:val="20"/>
          <w:szCs w:val="20"/>
        </w:rPr>
      </w:pPr>
      <w:r>
        <w:t>*</w:t>
      </w:r>
      <w:r>
        <w:rPr>
          <w:i/>
          <w:sz w:val="20"/>
          <w:szCs w:val="20"/>
        </w:rPr>
        <w:t>Designed by Derrick Kunsman, Assistant Principal, and his staff at Chippewa Falls Middle School, 2016</w:t>
      </w:r>
    </w:p>
    <w:sectPr w:rsidR="00F46584" w:rsidRPr="007A7C6A" w:rsidSect="009975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586" w:rsidRDefault="00997586" w:rsidP="00997586">
      <w:pPr>
        <w:spacing w:line="240" w:lineRule="auto"/>
      </w:pPr>
      <w:r>
        <w:separator/>
      </w:r>
    </w:p>
  </w:endnote>
  <w:endnote w:type="continuationSeparator" w:id="0">
    <w:p w:rsidR="00997586" w:rsidRDefault="00997586" w:rsidP="009975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586" w:rsidRDefault="009975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586" w:rsidRPr="00997586" w:rsidRDefault="00997586" w:rsidP="00997586">
    <w:pPr>
      <w:rPr>
        <w:rFonts w:asciiTheme="minorHAnsi" w:hAnsiTheme="minorHAnsi" w:cstheme="minorHAnsi"/>
        <w:sz w:val="16"/>
        <w:szCs w:val="16"/>
      </w:rPr>
    </w:pPr>
    <w:bookmarkStart w:id="0" w:name="_GoBack"/>
    <w:bookmarkEnd w:id="0"/>
    <w:r w:rsidRPr="00997586">
      <w:rPr>
        <w:rFonts w:asciiTheme="minorHAnsi" w:hAnsiTheme="minorHAnsi" w:cstheme="minorHAnsi"/>
        <w:sz w:val="16"/>
        <w:szCs w:val="16"/>
      </w:rPr>
      <w:t>Funding for this conference was made possible by NITT-HT grant, CFDA 93.243 from SAMHSA.  The views expressed in written conference materials or publications and by speakers and moderators do not necessarily reflect the official policies of the Department of Health and Human Services; nor does mention of trade names, commercial practices, or organizations imply endorsement by the U.S. Government.</w:t>
    </w:r>
  </w:p>
  <w:p w:rsidR="00997586" w:rsidRPr="00997586" w:rsidRDefault="00997586">
    <w:pPr>
      <w:pStyle w:val="Footer"/>
      <w:rPr>
        <w:rFonts w:asciiTheme="minorHAnsi" w:hAnsiTheme="minorHAnsi" w:cs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586" w:rsidRDefault="00997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586" w:rsidRDefault="00997586" w:rsidP="00997586">
      <w:pPr>
        <w:spacing w:line="240" w:lineRule="auto"/>
      </w:pPr>
      <w:r>
        <w:separator/>
      </w:r>
    </w:p>
  </w:footnote>
  <w:footnote w:type="continuationSeparator" w:id="0">
    <w:p w:rsidR="00997586" w:rsidRDefault="00997586" w:rsidP="009975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586" w:rsidRDefault="009975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586" w:rsidRDefault="009975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586" w:rsidRDefault="00997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17101"/>
    <w:multiLevelType w:val="hybridMultilevel"/>
    <w:tmpl w:val="EF285FA6"/>
    <w:lvl w:ilvl="0" w:tplc="93EC3C54">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940FB5"/>
    <w:multiLevelType w:val="hybridMultilevel"/>
    <w:tmpl w:val="490E35D2"/>
    <w:lvl w:ilvl="0" w:tplc="C2F8379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84"/>
    <w:rsid w:val="000931C1"/>
    <w:rsid w:val="00221F20"/>
    <w:rsid w:val="00336644"/>
    <w:rsid w:val="003A54A0"/>
    <w:rsid w:val="003C6428"/>
    <w:rsid w:val="004E7CFE"/>
    <w:rsid w:val="007A7C6A"/>
    <w:rsid w:val="00997586"/>
    <w:rsid w:val="00BD5D7D"/>
    <w:rsid w:val="00E2070D"/>
    <w:rsid w:val="00F46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4D4B56-5489-4892-9D56-3B0A746F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7A7C6A"/>
    <w:pPr>
      <w:ind w:left="720"/>
      <w:contextualSpacing/>
    </w:pPr>
  </w:style>
  <w:style w:type="paragraph" w:styleId="BalloonText">
    <w:name w:val="Balloon Text"/>
    <w:basedOn w:val="Normal"/>
    <w:link w:val="BalloonTextChar"/>
    <w:uiPriority w:val="99"/>
    <w:semiHidden/>
    <w:unhideWhenUsed/>
    <w:rsid w:val="00221F20"/>
    <w:pPr>
      <w:spacing w:line="240" w:lineRule="auto"/>
    </w:pPr>
    <w:rPr>
      <w:sz w:val="18"/>
      <w:szCs w:val="18"/>
    </w:rPr>
  </w:style>
  <w:style w:type="character" w:customStyle="1" w:styleId="BalloonTextChar">
    <w:name w:val="Balloon Text Char"/>
    <w:basedOn w:val="DefaultParagraphFont"/>
    <w:link w:val="BalloonText"/>
    <w:uiPriority w:val="99"/>
    <w:semiHidden/>
    <w:rsid w:val="00221F20"/>
    <w:rPr>
      <w:sz w:val="18"/>
      <w:szCs w:val="18"/>
    </w:rPr>
  </w:style>
  <w:style w:type="character" w:customStyle="1" w:styleId="apple-converted-space">
    <w:name w:val="apple-converted-space"/>
    <w:basedOn w:val="DefaultParagraphFont"/>
    <w:rsid w:val="00BD5D7D"/>
  </w:style>
  <w:style w:type="paragraph" w:styleId="NoSpacing">
    <w:name w:val="No Spacing"/>
    <w:uiPriority w:val="1"/>
    <w:qFormat/>
    <w:rsid w:val="00BD5D7D"/>
    <w:pPr>
      <w:spacing w:line="240" w:lineRule="auto"/>
    </w:pPr>
    <w:rPr>
      <w:rFonts w:asciiTheme="minorHAnsi" w:eastAsiaTheme="minorHAnsi" w:hAnsiTheme="minorHAnsi" w:cstheme="minorBidi"/>
      <w:color w:val="auto"/>
    </w:rPr>
  </w:style>
  <w:style w:type="paragraph" w:styleId="Header">
    <w:name w:val="header"/>
    <w:basedOn w:val="Normal"/>
    <w:link w:val="HeaderChar"/>
    <w:uiPriority w:val="99"/>
    <w:unhideWhenUsed/>
    <w:rsid w:val="00997586"/>
    <w:pPr>
      <w:tabs>
        <w:tab w:val="center" w:pos="4680"/>
        <w:tab w:val="right" w:pos="9360"/>
      </w:tabs>
      <w:spacing w:line="240" w:lineRule="auto"/>
    </w:pPr>
  </w:style>
  <w:style w:type="character" w:customStyle="1" w:styleId="HeaderChar">
    <w:name w:val="Header Char"/>
    <w:basedOn w:val="DefaultParagraphFont"/>
    <w:link w:val="Header"/>
    <w:uiPriority w:val="99"/>
    <w:rsid w:val="00997586"/>
  </w:style>
  <w:style w:type="paragraph" w:styleId="Footer">
    <w:name w:val="footer"/>
    <w:basedOn w:val="Normal"/>
    <w:link w:val="FooterChar"/>
    <w:uiPriority w:val="99"/>
    <w:unhideWhenUsed/>
    <w:rsid w:val="00997586"/>
    <w:pPr>
      <w:tabs>
        <w:tab w:val="center" w:pos="4680"/>
        <w:tab w:val="right" w:pos="9360"/>
      </w:tabs>
      <w:spacing w:line="240" w:lineRule="auto"/>
    </w:pPr>
  </w:style>
  <w:style w:type="character" w:customStyle="1" w:styleId="FooterChar">
    <w:name w:val="Footer Char"/>
    <w:basedOn w:val="DefaultParagraphFont"/>
    <w:link w:val="Footer"/>
    <w:uiPriority w:val="99"/>
    <w:rsid w:val="00997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Wightman, Monica J.   DPI</dc:creator>
  <cp:lastModifiedBy>Thomson, Amy</cp:lastModifiedBy>
  <cp:revision>3</cp:revision>
  <cp:lastPrinted>2017-06-09T17:54:00Z</cp:lastPrinted>
  <dcterms:created xsi:type="dcterms:W3CDTF">2018-06-22T16:46:00Z</dcterms:created>
  <dcterms:modified xsi:type="dcterms:W3CDTF">2018-08-02T20:29:00Z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-1261214360</vt:i4>
  </property>
  <property fmtid="{D5CDD505-2E9C-101B-9397-08002B2CF9AE}" pid="3" name="_NewReviewCycle">
    <vt:lpwstr/>
  </property>
  <property fmtid="{D5CDD505-2E9C-101B-9397-08002B2CF9AE}" pid="4" name="_EmailSubject">
    <vt:lpwstr>Youth Resiliency Plan</vt:lpwstr>
  </property>
  <property fmtid="{D5CDD505-2E9C-101B-9397-08002B2CF9AE}" pid="5" name="_AuthorEmail">
    <vt:lpwstr>Monica.Wightman@dpi.wi.gov</vt:lpwstr>
  </property>
  <property fmtid="{D5CDD505-2E9C-101B-9397-08002B2CF9AE}" pid="6" name="_AuthorEmailDisplayName">
    <vt:lpwstr>Wightman, Monica J.   DPI</vt:lpwstr>
  </property>
  <property fmtid="{D5CDD505-2E9C-101B-9397-08002B2CF9AE}" pid="7" name="_ReviewingToolsShownOnce">
    <vt:lpwstr/>
  </property>
</Properties>
</file>